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 w:cs="Times New Roman"/>
          <w:sz w:val="32"/>
        </w:rPr>
      </w:pPr>
      <w:r>
        <w:rPr>
          <w:rFonts w:hint="default" w:ascii="Times New Roman" w:hAnsi="Times New Roman" w:eastAsia="仿宋" w:cs="Times New Roman"/>
          <w:sz w:val="32"/>
        </w:rPr>
        <w:t>屯政办发〔</w:t>
      </w:r>
      <w:r>
        <w:rPr>
          <w:rFonts w:hint="default" w:ascii="Times New Roman" w:hAnsi="Times New Roman" w:eastAsia="仿宋" w:cs="Times New Roman"/>
          <w:sz w:val="32"/>
          <w:lang w:eastAsia="zh-CN"/>
        </w:rPr>
        <w:t>2025</w:t>
      </w:r>
      <w:r>
        <w:rPr>
          <w:rFonts w:hint="default" w:ascii="Times New Roman" w:hAnsi="Times New Roman" w:eastAsia="仿宋" w:cs="Times New Roman"/>
          <w:sz w:val="32"/>
        </w:rPr>
        <w:t>〕</w:t>
      </w:r>
      <w:r>
        <w:rPr>
          <w:rFonts w:hint="default" w:ascii="Times New Roman" w:hAnsi="Times New Roman" w:eastAsia="仿宋" w:cs="Times New Roman"/>
          <w:sz w:val="32"/>
          <w:lang w:val="en-US" w:eastAsia="zh-CN"/>
        </w:rPr>
        <w:t>6</w:t>
      </w:r>
      <w:r>
        <w:rPr>
          <w:rFonts w:hint="default" w:ascii="Times New Roman" w:hAnsi="Times New Roman" w:eastAsia="仿宋" w:cs="Times New Roman"/>
          <w:sz w:val="32"/>
        </w:rPr>
        <w:t>号</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b/>
          <w:bCs/>
          <w:sz w:val="44"/>
          <w:szCs w:val="44"/>
        </w:rPr>
      </w:pPr>
    </w:p>
    <w:p>
      <w:pPr>
        <w:pStyle w:val="6"/>
        <w:rPr>
          <w:rFonts w:hint="default"/>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sz w:val="44"/>
          <w:szCs w:val="44"/>
        </w:rPr>
      </w:pPr>
      <w:bookmarkStart w:id="0" w:name="_GoBack"/>
      <w:r>
        <w:rPr>
          <w:rFonts w:hint="eastAsia" w:ascii="宋体" w:hAnsi="宋体" w:eastAsia="宋体" w:cs="宋体"/>
          <w:b/>
          <w:bCs/>
          <w:sz w:val="44"/>
          <w:szCs w:val="44"/>
        </w:rPr>
        <w:t>长治市屯留区人民政府办公室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Autospacing="0" w:line="580" w:lineRule="exact"/>
        <w:ind w:right="0"/>
        <w:jc w:val="center"/>
        <w:outlineLvl w:val="9"/>
        <w:rPr>
          <w:rFonts w:hint="eastAsia" w:ascii="宋体" w:hAnsi="宋体" w:eastAsia="宋体" w:cs="宋体"/>
          <w:b/>
          <w:bCs/>
          <w:w w:val="95"/>
          <w:sz w:val="44"/>
          <w:szCs w:val="44"/>
          <w:lang w:val="en-US" w:eastAsia="zh-CN"/>
        </w:rPr>
      </w:pPr>
      <w:r>
        <w:rPr>
          <w:rFonts w:hint="eastAsia" w:ascii="宋体" w:hAnsi="宋体" w:eastAsia="宋体" w:cs="宋体"/>
          <w:b/>
          <w:bCs/>
          <w:i w:val="0"/>
          <w:caps w:val="0"/>
          <w:color w:val="333333"/>
          <w:spacing w:val="0"/>
          <w:w w:val="95"/>
          <w:kern w:val="0"/>
          <w:sz w:val="44"/>
          <w:szCs w:val="44"/>
          <w:shd w:val="clear" w:fill="FFFFFF"/>
          <w:lang w:val="en-US" w:eastAsia="zh-CN" w:bidi="ar"/>
        </w:rPr>
        <w:t>关于</w:t>
      </w:r>
      <w:r>
        <w:rPr>
          <w:rFonts w:hint="eastAsia" w:ascii="宋体" w:hAnsi="宋体" w:eastAsia="宋体" w:cs="宋体"/>
          <w:b/>
          <w:bCs/>
          <w:w w:val="95"/>
          <w:sz w:val="44"/>
          <w:szCs w:val="44"/>
          <w:lang w:val="en-US" w:eastAsia="zh-CN"/>
        </w:rPr>
        <w:t>印发《长治市</w:t>
      </w:r>
      <w:r>
        <w:rPr>
          <w:rFonts w:hint="default" w:ascii="宋体" w:hAnsi="宋体" w:eastAsia="宋体" w:cs="宋体"/>
          <w:b/>
          <w:bCs/>
          <w:w w:val="95"/>
          <w:sz w:val="44"/>
          <w:szCs w:val="44"/>
        </w:rPr>
        <w:t>屯留区地质灾害</w:t>
      </w:r>
      <w:r>
        <w:rPr>
          <w:rFonts w:hint="eastAsia" w:ascii="宋体" w:hAnsi="宋体" w:eastAsia="宋体" w:cs="宋体"/>
          <w:b/>
          <w:bCs/>
          <w:w w:val="95"/>
          <w:sz w:val="44"/>
          <w:szCs w:val="44"/>
          <w:lang w:val="en-US" w:eastAsia="zh-CN"/>
        </w:rPr>
        <w:t>应急预案》的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Autospacing="0" w:line="580" w:lineRule="exact"/>
        <w:ind w:right="0"/>
        <w:jc w:val="center"/>
        <w:outlineLvl w:val="9"/>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通  知</w:t>
      </w:r>
    </w:p>
    <w:bookmarkEnd w:id="0"/>
    <w:p>
      <w:pPr>
        <w:pStyle w:val="6"/>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各乡镇人民政府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综合服务中心，街道办事处，经开区管委会，</w:t>
      </w:r>
      <w:r>
        <w:rPr>
          <w:rFonts w:hint="eastAsia" w:ascii="仿宋" w:hAnsi="仿宋" w:eastAsia="仿宋" w:cs="仿宋"/>
          <w:sz w:val="32"/>
          <w:szCs w:val="32"/>
        </w:rPr>
        <w:t>区直各有关单位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各相关企业：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经区人民政府同意，现将新修订的</w:t>
      </w:r>
      <w:r>
        <w:rPr>
          <w:rFonts w:hint="eastAsia" w:ascii="仿宋" w:hAnsi="仿宋" w:eastAsia="仿宋" w:cs="仿宋"/>
          <w:sz w:val="32"/>
          <w:szCs w:val="32"/>
        </w:rPr>
        <w:t>《</w:t>
      </w:r>
      <w:r>
        <w:rPr>
          <w:rFonts w:hint="eastAsia" w:ascii="仿宋" w:hAnsi="仿宋" w:eastAsia="仿宋" w:cs="仿宋"/>
          <w:sz w:val="32"/>
          <w:szCs w:val="32"/>
          <w:lang w:val="en-US" w:eastAsia="zh-CN"/>
        </w:rPr>
        <w:t>长治市</w:t>
      </w:r>
      <w:r>
        <w:rPr>
          <w:rFonts w:hint="eastAsia" w:ascii="仿宋" w:hAnsi="仿宋" w:eastAsia="仿宋" w:cs="仿宋"/>
          <w:sz w:val="32"/>
          <w:szCs w:val="32"/>
        </w:rPr>
        <w:t>屯留区地质灾害</w:t>
      </w:r>
      <w:r>
        <w:rPr>
          <w:rFonts w:hint="eastAsia" w:ascii="仿宋" w:hAnsi="仿宋" w:eastAsia="仿宋" w:cs="仿宋"/>
          <w:sz w:val="32"/>
          <w:szCs w:val="32"/>
          <w:lang w:val="en-US" w:eastAsia="zh-CN"/>
        </w:rPr>
        <w:t>应急预案</w:t>
      </w:r>
      <w:r>
        <w:rPr>
          <w:rFonts w:hint="eastAsia" w:ascii="仿宋" w:hAnsi="仿宋" w:eastAsia="仿宋" w:cs="仿宋"/>
          <w:sz w:val="32"/>
          <w:szCs w:val="32"/>
        </w:rPr>
        <w:t>》印发给你们，请认真</w:t>
      </w:r>
      <w:r>
        <w:rPr>
          <w:rFonts w:hint="eastAsia" w:ascii="仿宋" w:hAnsi="仿宋" w:eastAsia="仿宋" w:cs="仿宋"/>
          <w:sz w:val="32"/>
          <w:szCs w:val="32"/>
          <w:lang w:val="en-US" w:eastAsia="zh-CN"/>
        </w:rPr>
        <w:t>遵照执行。</w:t>
      </w:r>
    </w:p>
    <w:p>
      <w:pPr>
        <w:keepNext w:val="0"/>
        <w:keepLines w:val="0"/>
        <w:pageBreakBefore w:val="0"/>
        <w:wordWrap/>
        <w:overflowPunct/>
        <w:topLinePunct w:val="0"/>
        <w:bidi w:val="0"/>
        <w:spacing w:line="500" w:lineRule="exact"/>
        <w:rPr>
          <w:rFonts w:hint="eastAsia" w:ascii="仿宋" w:hAnsi="仿宋" w:eastAsia="仿宋" w:cs="仿宋"/>
          <w:sz w:val="32"/>
          <w:szCs w:val="32"/>
        </w:rPr>
      </w:pPr>
    </w:p>
    <w:p>
      <w:pPr>
        <w:keepNext w:val="0"/>
        <w:keepLines w:val="0"/>
        <w:pageBreakBefore w:val="0"/>
        <w:wordWrap/>
        <w:overflowPunct/>
        <w:topLinePunct w:val="0"/>
        <w:bidi w:val="0"/>
        <w:spacing w:line="500" w:lineRule="exact"/>
        <w:rPr>
          <w:rFonts w:hint="eastAsia" w:ascii="仿宋" w:hAnsi="仿宋" w:eastAsia="仿宋" w:cs="仿宋"/>
          <w:sz w:val="32"/>
          <w:szCs w:val="32"/>
        </w:rPr>
      </w:pPr>
    </w:p>
    <w:p>
      <w:pPr>
        <w:keepNext w:val="0"/>
        <w:keepLines w:val="0"/>
        <w:pageBreakBefore w:val="0"/>
        <w:wordWrap/>
        <w:overflowPunct/>
        <w:topLinePunct w:val="0"/>
        <w:bidi w:val="0"/>
        <w:spacing w:line="500" w:lineRule="exact"/>
        <w:ind w:firstLine="4160" w:firstLineChars="1300"/>
        <w:rPr>
          <w:rFonts w:hint="eastAsia" w:ascii="仿宋" w:hAnsi="仿宋" w:eastAsia="仿宋" w:cs="仿宋"/>
          <w:sz w:val="32"/>
          <w:szCs w:val="32"/>
          <w:lang w:val="en-US" w:eastAsia="zh-CN"/>
        </w:rPr>
      </w:pPr>
      <w:r>
        <w:rPr>
          <w:rFonts w:hint="eastAsia" w:ascii="仿宋" w:hAnsi="仿宋" w:eastAsia="仿宋" w:cs="仿宋"/>
          <w:sz w:val="32"/>
          <w:szCs w:val="32"/>
        </w:rPr>
        <w:t>长治</w:t>
      </w:r>
      <w:r>
        <w:rPr>
          <w:rFonts w:hint="eastAsia" w:ascii="仿宋" w:hAnsi="仿宋" w:eastAsia="仿宋" w:cs="仿宋"/>
          <w:sz w:val="32"/>
          <w:szCs w:val="32"/>
          <w:lang w:val="en-US" w:eastAsia="zh-CN"/>
        </w:rPr>
        <w:t>市</w:t>
      </w:r>
      <w:r>
        <w:rPr>
          <w:rFonts w:hint="eastAsia" w:ascii="仿宋" w:hAnsi="仿宋" w:eastAsia="仿宋" w:cs="仿宋"/>
          <w:sz w:val="32"/>
          <w:szCs w:val="32"/>
        </w:rPr>
        <w:t>屯留区</w:t>
      </w:r>
      <w:r>
        <w:rPr>
          <w:rFonts w:hint="eastAsia" w:ascii="仿宋" w:hAnsi="仿宋" w:eastAsia="仿宋" w:cs="仿宋"/>
          <w:sz w:val="32"/>
          <w:szCs w:val="32"/>
          <w:lang w:val="en-US" w:eastAsia="zh-CN"/>
        </w:rPr>
        <w:t>人民政府办公室</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2025年2月26日</w:t>
      </w:r>
    </w:p>
    <w:p>
      <w:pPr>
        <w:pStyle w:val="6"/>
        <w:rPr>
          <w:rFonts w:hint="eastAsia"/>
          <w:lang w:eastAsia="zh-CN"/>
        </w:rPr>
      </w:pPr>
    </w:p>
    <w:p>
      <w:pPr>
        <w:pStyle w:val="6"/>
        <w:rPr>
          <w:rFonts w:hint="eastAsia"/>
          <w:lang w:eastAsia="zh-CN"/>
        </w:rPr>
      </w:pPr>
    </w:p>
    <w:p>
      <w:pPr>
        <w:pStyle w:val="6"/>
        <w:rPr>
          <w:rFonts w:hint="eastAsia"/>
          <w:lang w:eastAsia="zh-CN"/>
        </w:rPr>
      </w:pPr>
    </w:p>
    <w:p>
      <w:pPr>
        <w:pStyle w:val="6"/>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此件公开发布</w:t>
      </w:r>
      <w:r>
        <w:rPr>
          <w:rFonts w:hint="eastAsia" w:ascii="仿宋" w:hAnsi="仿宋" w:eastAsia="仿宋" w:cs="仿宋"/>
          <w:sz w:val="32"/>
          <w:szCs w:val="32"/>
          <w:lang w:eastAsia="zh-CN"/>
        </w:rPr>
        <w:t>）</w:t>
      </w:r>
    </w:p>
    <w:p>
      <w:pPr>
        <w:spacing w:before="140" w:line="222" w:lineRule="auto"/>
        <w:jc w:val="center"/>
        <w:rPr>
          <w:rFonts w:ascii="宋体" w:hAnsi="宋体" w:eastAsia="宋体" w:cs="宋体"/>
          <w:b/>
          <w:bCs/>
          <w:sz w:val="44"/>
          <w:szCs w:val="44"/>
        </w:rPr>
      </w:pPr>
      <w:r>
        <w:rPr>
          <w:rFonts w:ascii="宋体" w:hAnsi="宋体" w:eastAsia="宋体" w:cs="宋体"/>
          <w:b/>
          <w:bCs/>
          <w:spacing w:val="1"/>
          <w:sz w:val="44"/>
          <w:szCs w:val="44"/>
        </w:rPr>
        <w:t>长治</w:t>
      </w:r>
      <w:r>
        <w:rPr>
          <w:rFonts w:hint="eastAsia" w:ascii="宋体" w:hAnsi="宋体" w:eastAsia="宋体" w:cs="宋体"/>
          <w:b/>
          <w:bCs/>
          <w:spacing w:val="1"/>
          <w:sz w:val="44"/>
          <w:szCs w:val="44"/>
          <w:lang w:val="en-US" w:eastAsia="zh-CN"/>
        </w:rPr>
        <w:t>市屯留区</w:t>
      </w:r>
      <w:r>
        <w:rPr>
          <w:rFonts w:ascii="宋体" w:hAnsi="宋体" w:eastAsia="宋体" w:cs="宋体"/>
          <w:b/>
          <w:bCs/>
          <w:spacing w:val="1"/>
          <w:sz w:val="44"/>
          <w:szCs w:val="44"/>
        </w:rPr>
        <w:t>地质灾害应急预案</w:t>
      </w:r>
    </w:p>
    <w:p>
      <w:pPr>
        <w:spacing w:line="303" w:lineRule="auto"/>
        <w:rPr>
          <w:rFonts w:ascii="Arial"/>
          <w:sz w:val="21"/>
        </w:rPr>
      </w:pPr>
    </w:p>
    <w:p>
      <w:pPr>
        <w:spacing w:line="303" w:lineRule="auto"/>
        <w:rPr>
          <w:rFonts w:ascii="Arial"/>
          <w:sz w:val="21"/>
        </w:rPr>
      </w:pPr>
    </w:p>
    <w:p>
      <w:pPr>
        <w:spacing w:line="304" w:lineRule="auto"/>
        <w:rPr>
          <w:rFonts w:ascii="Arial"/>
          <w:sz w:val="21"/>
        </w:rPr>
      </w:pPr>
    </w:p>
    <w:p>
      <w:pPr>
        <w:keepNext w:val="0"/>
        <w:keepLines w:val="0"/>
        <w:pageBreakBefore w:val="0"/>
        <w:widowControl/>
        <w:wordWrap/>
        <w:overflowPunct/>
        <w:topLinePunct w:val="0"/>
        <w:bidi w:val="0"/>
        <w:spacing w:line="580" w:lineRule="exact"/>
        <w:ind w:left="651"/>
        <w:jc w:val="both"/>
        <w:rPr>
          <w:rFonts w:hint="eastAsia" w:ascii="黑体" w:hAnsi="黑体" w:eastAsia="黑体" w:cs="黑体"/>
          <w:sz w:val="32"/>
          <w:szCs w:val="32"/>
        </w:rPr>
      </w:pPr>
      <w:r>
        <w:rPr>
          <w:rFonts w:hint="eastAsia" w:ascii="黑体" w:hAnsi="黑体" w:eastAsia="黑体" w:cs="黑体"/>
          <w:spacing w:val="-10"/>
          <w:sz w:val="32"/>
          <w:szCs w:val="32"/>
        </w:rPr>
        <w:t>1</w:t>
      </w:r>
      <w:r>
        <w:rPr>
          <w:rFonts w:hint="eastAsia" w:ascii="黑体" w:hAnsi="黑体" w:eastAsia="黑体" w:cs="黑体"/>
          <w:spacing w:val="11"/>
          <w:sz w:val="32"/>
          <w:szCs w:val="32"/>
        </w:rPr>
        <w:t xml:space="preserve">  </w:t>
      </w:r>
      <w:r>
        <w:rPr>
          <w:rFonts w:hint="eastAsia" w:ascii="黑体" w:hAnsi="黑体" w:eastAsia="黑体" w:cs="黑体"/>
          <w:spacing w:val="-10"/>
          <w:sz w:val="32"/>
          <w:szCs w:val="32"/>
        </w:rPr>
        <w:t>总则</w:t>
      </w:r>
    </w:p>
    <w:p>
      <w:pPr>
        <w:keepNext w:val="0"/>
        <w:keepLines w:val="0"/>
        <w:pageBreakBefore w:val="0"/>
        <w:widowControl/>
        <w:wordWrap/>
        <w:overflowPunct/>
        <w:topLinePunct w:val="0"/>
        <w:bidi w:val="0"/>
        <w:spacing w:line="580" w:lineRule="exact"/>
        <w:ind w:left="651"/>
        <w:jc w:val="both"/>
        <w:rPr>
          <w:rFonts w:hint="eastAsia" w:ascii="楷体" w:hAnsi="楷体" w:eastAsia="楷体" w:cs="楷体"/>
          <w:sz w:val="32"/>
          <w:szCs w:val="32"/>
        </w:rPr>
      </w:pPr>
      <w:r>
        <w:rPr>
          <w:rFonts w:hint="eastAsia" w:ascii="楷体" w:hAnsi="楷体" w:eastAsia="楷体" w:cs="楷体"/>
          <w:spacing w:val="-2"/>
          <w:sz w:val="32"/>
          <w:szCs w:val="32"/>
        </w:rPr>
        <w:t>1.1</w:t>
      </w:r>
      <w:r>
        <w:rPr>
          <w:rFonts w:hint="eastAsia" w:ascii="楷体" w:hAnsi="楷体" w:eastAsia="楷体" w:cs="楷体"/>
          <w:spacing w:val="12"/>
          <w:sz w:val="32"/>
          <w:szCs w:val="32"/>
        </w:rPr>
        <w:t xml:space="preserve">  </w:t>
      </w:r>
      <w:r>
        <w:rPr>
          <w:rFonts w:hint="eastAsia" w:ascii="楷体" w:hAnsi="楷体" w:eastAsia="楷体" w:cs="楷体"/>
          <w:spacing w:val="-2"/>
          <w:sz w:val="32"/>
          <w:szCs w:val="32"/>
        </w:rPr>
        <w:t>编制目的</w:t>
      </w:r>
    </w:p>
    <w:p>
      <w:pPr>
        <w:pStyle w:val="3"/>
        <w:keepNext w:val="0"/>
        <w:keepLines w:val="0"/>
        <w:pageBreakBefore w:val="0"/>
        <w:widowControl/>
        <w:wordWrap/>
        <w:overflowPunct/>
        <w:topLinePunct w:val="0"/>
        <w:bidi w:val="0"/>
        <w:spacing w:line="580" w:lineRule="exact"/>
        <w:ind w:left="10" w:right="151" w:firstLine="634"/>
        <w:jc w:val="both"/>
        <w:rPr>
          <w:sz w:val="32"/>
          <w:szCs w:val="32"/>
        </w:rPr>
      </w:pPr>
      <w:r>
        <w:rPr>
          <w:spacing w:val="6"/>
          <w:sz w:val="32"/>
          <w:szCs w:val="32"/>
        </w:rPr>
        <w:t>为建立健全地质灾害应急救援机制，高效有序地做好</w:t>
      </w:r>
      <w:r>
        <w:rPr>
          <w:spacing w:val="5"/>
          <w:sz w:val="32"/>
          <w:szCs w:val="32"/>
        </w:rPr>
        <w:t>全</w:t>
      </w:r>
      <w:r>
        <w:rPr>
          <w:rFonts w:hint="eastAsia"/>
          <w:spacing w:val="5"/>
          <w:sz w:val="32"/>
          <w:szCs w:val="32"/>
          <w:lang w:val="en-US" w:eastAsia="zh-CN"/>
        </w:rPr>
        <w:t>区</w:t>
      </w:r>
      <w:r>
        <w:rPr>
          <w:spacing w:val="6"/>
          <w:sz w:val="32"/>
          <w:szCs w:val="32"/>
        </w:rPr>
        <w:t>突发地质灾害应对工作，最大程度地减少地质灾害造成的人员</w:t>
      </w:r>
      <w:r>
        <w:rPr>
          <w:spacing w:val="4"/>
          <w:sz w:val="32"/>
          <w:szCs w:val="32"/>
        </w:rPr>
        <w:t>伤亡和财产损失，维护社会稳定，编制本预案。</w:t>
      </w:r>
    </w:p>
    <w:p>
      <w:pPr>
        <w:keepNext w:val="0"/>
        <w:keepLines w:val="0"/>
        <w:pageBreakBefore w:val="0"/>
        <w:widowControl/>
        <w:wordWrap/>
        <w:overflowPunct/>
        <w:topLinePunct w:val="0"/>
        <w:bidi w:val="0"/>
        <w:spacing w:line="580" w:lineRule="exact"/>
        <w:ind w:left="651"/>
        <w:jc w:val="both"/>
        <w:rPr>
          <w:rFonts w:hint="eastAsia" w:ascii="楷体" w:hAnsi="楷体" w:eastAsia="楷体" w:cs="楷体"/>
          <w:spacing w:val="-2"/>
          <w:sz w:val="32"/>
          <w:szCs w:val="32"/>
        </w:rPr>
      </w:pPr>
      <w:r>
        <w:rPr>
          <w:rFonts w:hint="eastAsia" w:ascii="楷体" w:hAnsi="楷体" w:eastAsia="楷体" w:cs="楷体"/>
          <w:spacing w:val="-2"/>
          <w:sz w:val="32"/>
          <w:szCs w:val="32"/>
        </w:rPr>
        <w:t>1.2  编制依据</w:t>
      </w:r>
    </w:p>
    <w:p>
      <w:pPr>
        <w:pStyle w:val="3"/>
        <w:keepNext w:val="0"/>
        <w:keepLines w:val="0"/>
        <w:pageBreakBefore w:val="0"/>
        <w:widowControl/>
        <w:wordWrap/>
        <w:overflowPunct/>
        <w:topLinePunct w:val="0"/>
        <w:bidi w:val="0"/>
        <w:spacing w:line="580" w:lineRule="exact"/>
        <w:ind w:left="7" w:firstLine="623"/>
        <w:jc w:val="both"/>
        <w:rPr>
          <w:sz w:val="32"/>
          <w:szCs w:val="32"/>
        </w:rPr>
      </w:pPr>
      <w:r>
        <w:rPr>
          <w:sz w:val="32"/>
          <w:szCs w:val="32"/>
        </w:rPr>
        <w:t>《中华人民共和国突发事件应对法》《地质灾害防治条例》</w:t>
      </w:r>
      <w:r>
        <w:rPr>
          <w:spacing w:val="6"/>
          <w:sz w:val="32"/>
          <w:szCs w:val="32"/>
        </w:rPr>
        <w:t>《国务院关于加强地质灾害防治工作的决定》《山西省突发事</w:t>
      </w:r>
      <w:r>
        <w:rPr>
          <w:spacing w:val="-5"/>
          <w:sz w:val="32"/>
          <w:szCs w:val="32"/>
        </w:rPr>
        <w:t>件应对条例》《山西省地质灾害防治条例》《国家突发地质</w:t>
      </w:r>
      <w:r>
        <w:rPr>
          <w:spacing w:val="-6"/>
          <w:sz w:val="32"/>
          <w:szCs w:val="32"/>
        </w:rPr>
        <w:t>灾害</w:t>
      </w:r>
      <w:r>
        <w:rPr>
          <w:spacing w:val="-5"/>
          <w:sz w:val="32"/>
          <w:szCs w:val="32"/>
        </w:rPr>
        <w:t>应急预案》《山西省突发公共事件总体应急预案》《山西省</w:t>
      </w:r>
      <w:r>
        <w:rPr>
          <w:spacing w:val="-6"/>
          <w:sz w:val="32"/>
          <w:szCs w:val="32"/>
        </w:rPr>
        <w:t>地质</w:t>
      </w:r>
      <w:r>
        <w:rPr>
          <w:spacing w:val="-1"/>
          <w:sz w:val="32"/>
          <w:szCs w:val="32"/>
        </w:rPr>
        <w:t>灾害应急预案》《长治</w:t>
      </w:r>
      <w:r>
        <w:rPr>
          <w:rFonts w:hint="eastAsia"/>
          <w:spacing w:val="-1"/>
          <w:sz w:val="32"/>
          <w:szCs w:val="32"/>
          <w:lang w:val="en-US" w:eastAsia="zh-CN"/>
        </w:rPr>
        <w:t>市</w:t>
      </w:r>
      <w:r>
        <w:rPr>
          <w:spacing w:val="-1"/>
          <w:sz w:val="32"/>
          <w:szCs w:val="32"/>
        </w:rPr>
        <w:t>突发事件总体应急预案</w:t>
      </w:r>
      <w:r>
        <w:rPr>
          <w:spacing w:val="-2"/>
          <w:sz w:val="32"/>
          <w:szCs w:val="32"/>
        </w:rPr>
        <w:t>》</w:t>
      </w:r>
      <w:r>
        <w:rPr>
          <w:rFonts w:hint="eastAsia"/>
          <w:spacing w:val="-2"/>
          <w:sz w:val="32"/>
          <w:szCs w:val="32"/>
          <w:lang w:eastAsia="zh-CN"/>
        </w:rPr>
        <w:t>《</w:t>
      </w:r>
      <w:r>
        <w:rPr>
          <w:rFonts w:hint="eastAsia"/>
          <w:spacing w:val="-2"/>
          <w:sz w:val="32"/>
          <w:szCs w:val="32"/>
          <w:lang w:val="en-US" w:eastAsia="zh-CN"/>
        </w:rPr>
        <w:t>长治市地质灾害应急预案</w:t>
      </w:r>
      <w:r>
        <w:rPr>
          <w:rFonts w:hint="eastAsia"/>
          <w:spacing w:val="-2"/>
          <w:sz w:val="32"/>
          <w:szCs w:val="32"/>
          <w:lang w:eastAsia="zh-CN"/>
        </w:rPr>
        <w:t>》</w:t>
      </w:r>
      <w:r>
        <w:rPr>
          <w:spacing w:val="-2"/>
          <w:sz w:val="32"/>
          <w:szCs w:val="32"/>
        </w:rPr>
        <w:t>等。</w:t>
      </w:r>
    </w:p>
    <w:p>
      <w:pPr>
        <w:keepNext w:val="0"/>
        <w:keepLines w:val="0"/>
        <w:pageBreakBefore w:val="0"/>
        <w:widowControl/>
        <w:wordWrap/>
        <w:overflowPunct/>
        <w:topLinePunct w:val="0"/>
        <w:bidi w:val="0"/>
        <w:spacing w:line="580" w:lineRule="exact"/>
        <w:ind w:left="651"/>
        <w:jc w:val="both"/>
        <w:rPr>
          <w:rFonts w:hint="eastAsia" w:ascii="楷体" w:hAnsi="楷体" w:eastAsia="楷体" w:cs="楷体"/>
          <w:sz w:val="32"/>
          <w:szCs w:val="32"/>
        </w:rPr>
      </w:pPr>
      <w:r>
        <w:rPr>
          <w:rFonts w:hint="eastAsia" w:ascii="楷体" w:hAnsi="楷体" w:eastAsia="楷体" w:cs="楷体"/>
          <w:spacing w:val="1"/>
          <w:sz w:val="32"/>
          <w:szCs w:val="32"/>
        </w:rPr>
        <w:t>1.3  工作原则</w:t>
      </w:r>
    </w:p>
    <w:p>
      <w:pPr>
        <w:pStyle w:val="3"/>
        <w:keepNext w:val="0"/>
        <w:keepLines w:val="0"/>
        <w:pageBreakBefore w:val="0"/>
        <w:widowControl/>
        <w:wordWrap/>
        <w:overflowPunct/>
        <w:topLinePunct w:val="0"/>
        <w:bidi w:val="0"/>
        <w:spacing w:line="580" w:lineRule="exact"/>
        <w:ind w:left="7" w:right="153" w:firstLine="642"/>
        <w:jc w:val="both"/>
        <w:rPr>
          <w:sz w:val="32"/>
          <w:szCs w:val="32"/>
        </w:rPr>
      </w:pPr>
      <w:r>
        <w:rPr>
          <w:spacing w:val="5"/>
          <w:sz w:val="32"/>
          <w:szCs w:val="32"/>
        </w:rPr>
        <w:t>突发地质灾害应对工作坚持预防为主、统一领导、分级管理、属地为主、群专结合、科学应对、专业处置的原则。</w:t>
      </w:r>
    </w:p>
    <w:p>
      <w:pPr>
        <w:keepNext w:val="0"/>
        <w:keepLines w:val="0"/>
        <w:pageBreakBefore w:val="0"/>
        <w:widowControl/>
        <w:wordWrap/>
        <w:overflowPunct/>
        <w:topLinePunct w:val="0"/>
        <w:bidi w:val="0"/>
        <w:spacing w:line="580" w:lineRule="exact"/>
        <w:ind w:left="651"/>
        <w:jc w:val="both"/>
        <w:rPr>
          <w:rFonts w:hint="eastAsia" w:ascii="楷体" w:hAnsi="楷体" w:eastAsia="楷体" w:cs="楷体"/>
          <w:sz w:val="32"/>
          <w:szCs w:val="32"/>
        </w:rPr>
      </w:pPr>
      <w:r>
        <w:rPr>
          <w:rFonts w:hint="eastAsia" w:ascii="楷体" w:hAnsi="楷体" w:eastAsia="楷体" w:cs="楷体"/>
          <w:spacing w:val="-1"/>
          <w:sz w:val="32"/>
          <w:szCs w:val="32"/>
        </w:rPr>
        <w:t>1.4</w:t>
      </w:r>
      <w:r>
        <w:rPr>
          <w:rFonts w:hint="eastAsia" w:ascii="楷体" w:hAnsi="楷体" w:eastAsia="楷体" w:cs="楷体"/>
          <w:spacing w:val="9"/>
          <w:sz w:val="32"/>
          <w:szCs w:val="32"/>
        </w:rPr>
        <w:t xml:space="preserve">  </w:t>
      </w:r>
      <w:r>
        <w:rPr>
          <w:rFonts w:hint="eastAsia" w:ascii="楷体" w:hAnsi="楷体" w:eastAsia="楷体" w:cs="楷体"/>
          <w:spacing w:val="-1"/>
          <w:sz w:val="32"/>
          <w:szCs w:val="32"/>
        </w:rPr>
        <w:t>适用范围</w:t>
      </w:r>
    </w:p>
    <w:p>
      <w:pPr>
        <w:pStyle w:val="3"/>
        <w:keepNext w:val="0"/>
        <w:keepLines w:val="0"/>
        <w:pageBreakBefore w:val="0"/>
        <w:widowControl/>
        <w:wordWrap/>
        <w:overflowPunct/>
        <w:topLinePunct w:val="0"/>
        <w:bidi w:val="0"/>
        <w:spacing w:line="580" w:lineRule="exact"/>
        <w:ind w:left="1" w:right="56" w:firstLine="633"/>
        <w:jc w:val="both"/>
        <w:rPr>
          <w:sz w:val="32"/>
          <w:szCs w:val="32"/>
        </w:rPr>
      </w:pPr>
      <w:r>
        <w:rPr>
          <w:spacing w:val="6"/>
          <w:sz w:val="32"/>
          <w:szCs w:val="32"/>
        </w:rPr>
        <w:t>本预案适用于处置本</w:t>
      </w:r>
      <w:r>
        <w:rPr>
          <w:rFonts w:hint="eastAsia"/>
          <w:spacing w:val="6"/>
          <w:sz w:val="32"/>
          <w:szCs w:val="32"/>
          <w:lang w:val="en-US" w:eastAsia="zh-CN"/>
        </w:rPr>
        <w:t>区</w:t>
      </w:r>
      <w:r>
        <w:rPr>
          <w:spacing w:val="6"/>
          <w:sz w:val="32"/>
          <w:szCs w:val="32"/>
        </w:rPr>
        <w:t>行政区域内因自然因素或者人为活</w:t>
      </w:r>
      <w:r>
        <w:rPr>
          <w:spacing w:val="-2"/>
          <w:sz w:val="32"/>
          <w:szCs w:val="32"/>
        </w:rPr>
        <w:t>动引发的危害人民生命和财产安全的山体崩塌、滑坡、泥石流、</w:t>
      </w:r>
      <w:r>
        <w:rPr>
          <w:spacing w:val="5"/>
          <w:sz w:val="32"/>
          <w:szCs w:val="32"/>
        </w:rPr>
        <w:t>地面塌陷、地裂缝、地面沉降等与地质作用有关的地质灾害</w:t>
      </w:r>
    </w:p>
    <w:p>
      <w:pPr>
        <w:keepNext w:val="0"/>
        <w:keepLines w:val="0"/>
        <w:pageBreakBefore w:val="0"/>
        <w:widowControl/>
        <w:wordWrap/>
        <w:overflowPunct/>
        <w:topLinePunct w:val="0"/>
        <w:bidi w:val="0"/>
        <w:spacing w:line="580" w:lineRule="exact"/>
        <w:ind w:left="651"/>
        <w:jc w:val="both"/>
        <w:rPr>
          <w:rFonts w:hint="eastAsia" w:ascii="楷体" w:hAnsi="楷体" w:eastAsia="楷体" w:cs="楷体"/>
          <w:sz w:val="32"/>
          <w:szCs w:val="32"/>
        </w:rPr>
      </w:pPr>
      <w:r>
        <w:rPr>
          <w:rFonts w:hint="eastAsia" w:ascii="楷体" w:hAnsi="楷体" w:eastAsia="楷体" w:cs="楷体"/>
          <w:spacing w:val="3"/>
          <w:sz w:val="32"/>
          <w:szCs w:val="32"/>
        </w:rPr>
        <w:t>1.5  地质灾害灾（险）情分级</w:t>
      </w:r>
    </w:p>
    <w:p>
      <w:pPr>
        <w:pStyle w:val="3"/>
        <w:keepNext w:val="0"/>
        <w:keepLines w:val="0"/>
        <w:pageBreakBefore w:val="0"/>
        <w:widowControl/>
        <w:wordWrap/>
        <w:overflowPunct/>
        <w:topLinePunct w:val="0"/>
        <w:bidi w:val="0"/>
        <w:spacing w:line="580" w:lineRule="exact"/>
        <w:ind w:left="3" w:right="178" w:firstLine="626"/>
        <w:jc w:val="both"/>
        <w:rPr>
          <w:sz w:val="32"/>
          <w:szCs w:val="32"/>
        </w:rPr>
      </w:pPr>
      <w:r>
        <w:rPr>
          <w:spacing w:val="3"/>
          <w:sz w:val="32"/>
          <w:szCs w:val="32"/>
        </w:rPr>
        <w:t>地质灾害灾（险）情按照避险转移、伤亡人数或经济损失</w:t>
      </w:r>
      <w:r>
        <w:rPr>
          <w:spacing w:val="-2"/>
          <w:sz w:val="32"/>
          <w:szCs w:val="32"/>
        </w:rPr>
        <w:t>分为小型、中型、大型、特大型四级（见附件2）。</w:t>
      </w:r>
    </w:p>
    <w:p>
      <w:pPr>
        <w:keepNext w:val="0"/>
        <w:keepLines w:val="0"/>
        <w:pageBreakBefore w:val="0"/>
        <w:widowControl/>
        <w:wordWrap/>
        <w:overflowPunct/>
        <w:topLinePunct w:val="0"/>
        <w:bidi w:val="0"/>
        <w:spacing w:line="580" w:lineRule="exact"/>
        <w:ind w:left="629"/>
        <w:jc w:val="both"/>
        <w:rPr>
          <w:rFonts w:hint="eastAsia" w:ascii="黑体" w:hAnsi="黑体" w:eastAsia="黑体" w:cs="黑体"/>
          <w:sz w:val="32"/>
          <w:szCs w:val="32"/>
        </w:rPr>
      </w:pPr>
      <w:r>
        <w:rPr>
          <w:rFonts w:hint="eastAsia" w:ascii="黑体" w:hAnsi="黑体" w:eastAsia="黑体" w:cs="黑体"/>
          <w:spacing w:val="4"/>
          <w:sz w:val="32"/>
          <w:szCs w:val="32"/>
        </w:rPr>
        <w:t xml:space="preserve">2  </w:t>
      </w:r>
      <w:r>
        <w:rPr>
          <w:rFonts w:hint="eastAsia" w:ascii="黑体" w:hAnsi="黑体" w:eastAsia="黑体" w:cs="黑体"/>
          <w:spacing w:val="4"/>
          <w:sz w:val="32"/>
          <w:szCs w:val="32"/>
          <w:lang w:val="en-US" w:eastAsia="zh-CN"/>
        </w:rPr>
        <w:t>区</w:t>
      </w:r>
      <w:r>
        <w:rPr>
          <w:rFonts w:hint="eastAsia" w:ascii="黑体" w:hAnsi="黑体" w:eastAsia="黑体" w:cs="黑体"/>
          <w:spacing w:val="4"/>
          <w:sz w:val="32"/>
          <w:szCs w:val="32"/>
        </w:rPr>
        <w:t>地质灾害应急指挥体系</w:t>
      </w:r>
    </w:p>
    <w:p>
      <w:pPr>
        <w:pStyle w:val="3"/>
        <w:keepNext w:val="0"/>
        <w:keepLines w:val="0"/>
        <w:pageBreakBefore w:val="0"/>
        <w:widowControl/>
        <w:wordWrap/>
        <w:overflowPunct/>
        <w:topLinePunct w:val="0"/>
        <w:bidi w:val="0"/>
        <w:spacing w:line="580" w:lineRule="exact"/>
        <w:ind w:left="1" w:right="177" w:firstLine="629"/>
        <w:jc w:val="both"/>
        <w:rPr>
          <w:sz w:val="32"/>
          <w:szCs w:val="32"/>
        </w:rPr>
      </w:pPr>
      <w:r>
        <w:rPr>
          <w:spacing w:val="2"/>
          <w:sz w:val="32"/>
          <w:szCs w:val="32"/>
        </w:rPr>
        <w:t>全</w:t>
      </w:r>
      <w:r>
        <w:rPr>
          <w:rFonts w:hint="eastAsia"/>
          <w:spacing w:val="2"/>
          <w:sz w:val="32"/>
          <w:szCs w:val="32"/>
          <w:lang w:eastAsia="zh-CN"/>
        </w:rPr>
        <w:t>区</w:t>
      </w:r>
      <w:r>
        <w:rPr>
          <w:spacing w:val="2"/>
          <w:sz w:val="32"/>
          <w:szCs w:val="32"/>
        </w:rPr>
        <w:t>地质灾害应急指挥体系由</w:t>
      </w:r>
      <w:r>
        <w:rPr>
          <w:rFonts w:hint="eastAsia"/>
          <w:spacing w:val="2"/>
          <w:sz w:val="32"/>
          <w:szCs w:val="32"/>
          <w:lang w:eastAsia="zh-CN"/>
        </w:rPr>
        <w:t>区</w:t>
      </w:r>
      <w:r>
        <w:rPr>
          <w:rFonts w:hint="eastAsia"/>
          <w:spacing w:val="2"/>
          <w:sz w:val="32"/>
          <w:szCs w:val="32"/>
          <w:lang w:val="en-US" w:eastAsia="zh-CN"/>
        </w:rPr>
        <w:t>应急</w:t>
      </w:r>
      <w:r>
        <w:rPr>
          <w:spacing w:val="2"/>
          <w:sz w:val="32"/>
          <w:szCs w:val="32"/>
        </w:rPr>
        <w:t>指挥部及</w:t>
      </w:r>
      <w:r>
        <w:rPr>
          <w:spacing w:val="3"/>
          <w:sz w:val="32"/>
          <w:szCs w:val="32"/>
        </w:rPr>
        <w:t>其办公室组成。</w:t>
      </w:r>
    </w:p>
    <w:p>
      <w:pPr>
        <w:keepNext w:val="0"/>
        <w:keepLines w:val="0"/>
        <w:pageBreakBefore w:val="0"/>
        <w:widowControl/>
        <w:wordWrap/>
        <w:overflowPunct/>
        <w:topLinePunct w:val="0"/>
        <w:bidi w:val="0"/>
        <w:spacing w:line="580" w:lineRule="exact"/>
        <w:ind w:left="629"/>
        <w:jc w:val="both"/>
        <w:rPr>
          <w:rFonts w:hint="eastAsia" w:ascii="楷体" w:hAnsi="楷体" w:eastAsia="楷体" w:cs="楷体"/>
          <w:sz w:val="32"/>
          <w:szCs w:val="32"/>
        </w:rPr>
      </w:pPr>
      <w:r>
        <w:rPr>
          <w:rFonts w:hint="eastAsia" w:ascii="楷体" w:hAnsi="楷体" w:eastAsia="楷体" w:cs="楷体"/>
          <w:spacing w:val="4"/>
          <w:sz w:val="32"/>
          <w:szCs w:val="32"/>
        </w:rPr>
        <w:t xml:space="preserve">2.1  </w:t>
      </w:r>
      <w:r>
        <w:rPr>
          <w:rFonts w:hint="eastAsia" w:ascii="楷体" w:hAnsi="楷体" w:eastAsia="楷体" w:cs="楷体"/>
          <w:spacing w:val="4"/>
          <w:sz w:val="32"/>
          <w:szCs w:val="32"/>
          <w:lang w:eastAsia="zh-CN"/>
        </w:rPr>
        <w:t>区</w:t>
      </w:r>
      <w:r>
        <w:rPr>
          <w:rFonts w:hint="eastAsia" w:ascii="楷体" w:hAnsi="楷体" w:eastAsia="楷体" w:cs="楷体"/>
          <w:spacing w:val="4"/>
          <w:sz w:val="32"/>
          <w:szCs w:val="32"/>
        </w:rPr>
        <w:t>地质灾害应急指挥部</w:t>
      </w:r>
    </w:p>
    <w:p>
      <w:pPr>
        <w:pStyle w:val="3"/>
        <w:keepNext w:val="0"/>
        <w:keepLines w:val="0"/>
        <w:pageBreakBefore w:val="0"/>
        <w:widowControl/>
        <w:wordWrap/>
        <w:overflowPunct/>
        <w:topLinePunct w:val="0"/>
        <w:bidi w:val="0"/>
        <w:spacing w:line="580" w:lineRule="exact"/>
        <w:ind w:left="636"/>
        <w:jc w:val="both"/>
        <w:rPr>
          <w:sz w:val="32"/>
          <w:szCs w:val="32"/>
        </w:rPr>
      </w:pPr>
      <w:r>
        <w:rPr>
          <w:spacing w:val="4"/>
          <w:sz w:val="32"/>
          <w:szCs w:val="32"/>
        </w:rPr>
        <w:t>指 挥 长：</w:t>
      </w:r>
      <w:r>
        <w:rPr>
          <w:rFonts w:hint="eastAsia"/>
          <w:spacing w:val="4"/>
          <w:sz w:val="32"/>
          <w:szCs w:val="32"/>
          <w:lang w:eastAsia="zh-CN"/>
        </w:rPr>
        <w:t>区</w:t>
      </w:r>
      <w:r>
        <w:rPr>
          <w:spacing w:val="4"/>
          <w:sz w:val="32"/>
          <w:szCs w:val="32"/>
        </w:rPr>
        <w:t>政府分管副</w:t>
      </w:r>
      <w:r>
        <w:rPr>
          <w:rFonts w:hint="eastAsia"/>
          <w:spacing w:val="4"/>
          <w:sz w:val="32"/>
          <w:szCs w:val="32"/>
          <w:lang w:eastAsia="zh-CN"/>
        </w:rPr>
        <w:t>区</w:t>
      </w:r>
      <w:r>
        <w:rPr>
          <w:spacing w:val="4"/>
          <w:sz w:val="32"/>
          <w:szCs w:val="32"/>
        </w:rPr>
        <w:t>长。</w:t>
      </w:r>
    </w:p>
    <w:p>
      <w:pPr>
        <w:pStyle w:val="3"/>
        <w:keepNext w:val="0"/>
        <w:keepLines w:val="0"/>
        <w:pageBreakBefore w:val="0"/>
        <w:widowControl/>
        <w:wordWrap/>
        <w:overflowPunct/>
        <w:topLinePunct w:val="0"/>
        <w:bidi w:val="0"/>
        <w:spacing w:line="580" w:lineRule="exact"/>
        <w:ind w:left="11" w:right="175" w:firstLine="648"/>
        <w:jc w:val="both"/>
        <w:rPr>
          <w:sz w:val="32"/>
          <w:szCs w:val="32"/>
        </w:rPr>
      </w:pPr>
      <w:r>
        <w:rPr>
          <w:spacing w:val="5"/>
          <w:sz w:val="32"/>
          <w:szCs w:val="32"/>
        </w:rPr>
        <w:t>副指挥长：</w:t>
      </w:r>
      <w:r>
        <w:rPr>
          <w:rFonts w:hint="eastAsia"/>
          <w:spacing w:val="5"/>
          <w:sz w:val="32"/>
          <w:szCs w:val="32"/>
          <w:lang w:eastAsia="zh-CN"/>
        </w:rPr>
        <w:t>区</w:t>
      </w:r>
      <w:r>
        <w:rPr>
          <w:spacing w:val="5"/>
          <w:sz w:val="32"/>
          <w:szCs w:val="32"/>
        </w:rPr>
        <w:t>应急管理局局长、</w:t>
      </w:r>
      <w:r>
        <w:rPr>
          <w:rFonts w:hint="eastAsia"/>
          <w:spacing w:val="5"/>
          <w:sz w:val="32"/>
          <w:szCs w:val="32"/>
          <w:lang w:eastAsia="zh-CN"/>
        </w:rPr>
        <w:t>区</w:t>
      </w:r>
      <w:r>
        <w:rPr>
          <w:spacing w:val="6"/>
          <w:sz w:val="32"/>
          <w:szCs w:val="32"/>
        </w:rPr>
        <w:t>自然资源局局长</w:t>
      </w:r>
      <w:r>
        <w:rPr>
          <w:spacing w:val="4"/>
          <w:sz w:val="32"/>
          <w:szCs w:val="32"/>
        </w:rPr>
        <w:t>。</w:t>
      </w:r>
    </w:p>
    <w:p>
      <w:pPr>
        <w:pStyle w:val="3"/>
        <w:keepNext w:val="0"/>
        <w:keepLines w:val="0"/>
        <w:pageBreakBefore w:val="0"/>
        <w:widowControl/>
        <w:wordWrap/>
        <w:overflowPunct/>
        <w:topLinePunct w:val="0"/>
        <w:bidi w:val="0"/>
        <w:spacing w:line="580" w:lineRule="exact"/>
        <w:ind w:right="82" w:firstLine="640"/>
        <w:jc w:val="both"/>
        <w:rPr>
          <w:rFonts w:hint="eastAsia" w:eastAsia="仿宋"/>
          <w:sz w:val="32"/>
          <w:szCs w:val="32"/>
          <w:lang w:eastAsia="zh-CN"/>
        </w:rPr>
      </w:pPr>
      <w:r>
        <w:rPr>
          <w:spacing w:val="-3"/>
          <w:sz w:val="32"/>
          <w:szCs w:val="32"/>
        </w:rPr>
        <w:t>成员单位：</w:t>
      </w:r>
      <w:r>
        <w:rPr>
          <w:rFonts w:hint="eastAsia"/>
          <w:spacing w:val="-3"/>
          <w:sz w:val="32"/>
          <w:szCs w:val="32"/>
          <w:lang w:eastAsia="zh-CN"/>
        </w:rPr>
        <w:t>区</w:t>
      </w:r>
      <w:r>
        <w:rPr>
          <w:spacing w:val="-3"/>
          <w:sz w:val="32"/>
          <w:szCs w:val="32"/>
        </w:rPr>
        <w:t>委宣传部、</w:t>
      </w:r>
      <w:r>
        <w:rPr>
          <w:rFonts w:hint="eastAsia"/>
          <w:spacing w:val="-3"/>
          <w:sz w:val="32"/>
          <w:szCs w:val="32"/>
          <w:lang w:eastAsia="zh-CN"/>
        </w:rPr>
        <w:t>区</w:t>
      </w:r>
      <w:r>
        <w:rPr>
          <w:spacing w:val="-3"/>
          <w:sz w:val="32"/>
          <w:szCs w:val="32"/>
        </w:rPr>
        <w:t>发展和改革委员会、</w:t>
      </w:r>
      <w:r>
        <w:rPr>
          <w:rFonts w:hint="eastAsia"/>
          <w:spacing w:val="-3"/>
          <w:sz w:val="32"/>
          <w:szCs w:val="32"/>
          <w:lang w:eastAsia="zh-CN"/>
        </w:rPr>
        <w:t>区</w:t>
      </w:r>
      <w:r>
        <w:rPr>
          <w:spacing w:val="-3"/>
          <w:sz w:val="32"/>
          <w:szCs w:val="32"/>
        </w:rPr>
        <w:t>教育局、</w:t>
      </w:r>
      <w:r>
        <w:rPr>
          <w:rFonts w:hint="eastAsia"/>
          <w:spacing w:val="6"/>
          <w:sz w:val="32"/>
          <w:szCs w:val="32"/>
          <w:lang w:eastAsia="zh-CN"/>
        </w:rPr>
        <w:t>区</w:t>
      </w:r>
      <w:r>
        <w:rPr>
          <w:spacing w:val="6"/>
          <w:sz w:val="32"/>
          <w:szCs w:val="32"/>
        </w:rPr>
        <w:t>公安局、</w:t>
      </w:r>
      <w:r>
        <w:rPr>
          <w:rFonts w:hint="eastAsia"/>
          <w:spacing w:val="6"/>
          <w:sz w:val="32"/>
          <w:szCs w:val="32"/>
          <w:lang w:eastAsia="zh-CN"/>
        </w:rPr>
        <w:t>区</w:t>
      </w:r>
      <w:r>
        <w:rPr>
          <w:spacing w:val="6"/>
          <w:sz w:val="32"/>
          <w:szCs w:val="32"/>
        </w:rPr>
        <w:t>民政局、</w:t>
      </w:r>
      <w:r>
        <w:rPr>
          <w:rFonts w:hint="eastAsia"/>
          <w:spacing w:val="6"/>
          <w:sz w:val="32"/>
          <w:szCs w:val="32"/>
          <w:lang w:eastAsia="zh-CN"/>
        </w:rPr>
        <w:t>区</w:t>
      </w:r>
      <w:r>
        <w:rPr>
          <w:spacing w:val="6"/>
          <w:sz w:val="32"/>
          <w:szCs w:val="32"/>
        </w:rPr>
        <w:t>财政局、</w:t>
      </w:r>
      <w:r>
        <w:rPr>
          <w:rFonts w:hint="eastAsia"/>
          <w:spacing w:val="6"/>
          <w:sz w:val="32"/>
          <w:szCs w:val="32"/>
          <w:lang w:val="en-US" w:eastAsia="zh-CN"/>
        </w:rPr>
        <w:t>区环保局、</w:t>
      </w:r>
      <w:r>
        <w:rPr>
          <w:rFonts w:hint="eastAsia"/>
          <w:spacing w:val="6"/>
          <w:sz w:val="32"/>
          <w:szCs w:val="32"/>
          <w:lang w:eastAsia="zh-CN"/>
        </w:rPr>
        <w:t>区</w:t>
      </w:r>
      <w:r>
        <w:rPr>
          <w:spacing w:val="6"/>
          <w:sz w:val="32"/>
          <w:szCs w:val="32"/>
        </w:rPr>
        <w:t>自然资源局</w:t>
      </w:r>
      <w:r>
        <w:rPr>
          <w:spacing w:val="7"/>
          <w:sz w:val="32"/>
          <w:szCs w:val="32"/>
        </w:rPr>
        <w:t>、</w:t>
      </w:r>
      <w:r>
        <w:rPr>
          <w:rFonts w:hint="eastAsia"/>
          <w:spacing w:val="7"/>
          <w:sz w:val="32"/>
          <w:szCs w:val="32"/>
          <w:lang w:eastAsia="zh-CN"/>
        </w:rPr>
        <w:t>区</w:t>
      </w:r>
      <w:r>
        <w:rPr>
          <w:spacing w:val="7"/>
          <w:sz w:val="32"/>
          <w:szCs w:val="32"/>
        </w:rPr>
        <w:t>住房和城乡建设局、</w:t>
      </w:r>
      <w:r>
        <w:rPr>
          <w:rFonts w:hint="eastAsia"/>
          <w:spacing w:val="7"/>
          <w:sz w:val="32"/>
          <w:szCs w:val="32"/>
          <w:lang w:eastAsia="zh-CN"/>
        </w:rPr>
        <w:t>区</w:t>
      </w:r>
      <w:r>
        <w:rPr>
          <w:spacing w:val="7"/>
          <w:sz w:val="32"/>
          <w:szCs w:val="32"/>
        </w:rPr>
        <w:t>交通运输局、</w:t>
      </w:r>
      <w:r>
        <w:rPr>
          <w:rFonts w:hint="eastAsia"/>
          <w:spacing w:val="7"/>
          <w:sz w:val="32"/>
          <w:szCs w:val="32"/>
          <w:lang w:eastAsia="zh-CN"/>
        </w:rPr>
        <w:t>区</w:t>
      </w:r>
      <w:r>
        <w:rPr>
          <w:spacing w:val="7"/>
          <w:sz w:val="32"/>
          <w:szCs w:val="32"/>
        </w:rPr>
        <w:t>水利局、</w:t>
      </w:r>
      <w:r>
        <w:rPr>
          <w:rFonts w:hint="eastAsia"/>
          <w:spacing w:val="6"/>
          <w:sz w:val="32"/>
          <w:szCs w:val="32"/>
          <w:lang w:eastAsia="zh-CN"/>
        </w:rPr>
        <w:t>区</w:t>
      </w:r>
      <w:r>
        <w:rPr>
          <w:spacing w:val="6"/>
          <w:sz w:val="32"/>
          <w:szCs w:val="32"/>
        </w:rPr>
        <w:t>农业农村局、</w:t>
      </w:r>
      <w:r>
        <w:rPr>
          <w:rFonts w:hint="eastAsia"/>
          <w:spacing w:val="6"/>
          <w:sz w:val="32"/>
          <w:szCs w:val="32"/>
          <w:lang w:val="en-US" w:eastAsia="zh-CN"/>
        </w:rPr>
        <w:t>区能源局、</w:t>
      </w:r>
      <w:r>
        <w:rPr>
          <w:rFonts w:hint="eastAsia"/>
          <w:spacing w:val="6"/>
          <w:sz w:val="32"/>
          <w:szCs w:val="32"/>
          <w:lang w:eastAsia="zh-CN"/>
        </w:rPr>
        <w:t>区</w:t>
      </w:r>
      <w:r>
        <w:rPr>
          <w:spacing w:val="6"/>
          <w:sz w:val="32"/>
          <w:szCs w:val="32"/>
        </w:rPr>
        <w:t>文化和旅游局、</w:t>
      </w:r>
      <w:r>
        <w:rPr>
          <w:rFonts w:hint="eastAsia"/>
          <w:spacing w:val="6"/>
          <w:sz w:val="32"/>
          <w:szCs w:val="32"/>
          <w:lang w:eastAsia="zh-CN"/>
        </w:rPr>
        <w:t>区</w:t>
      </w:r>
      <w:r>
        <w:rPr>
          <w:spacing w:val="6"/>
          <w:sz w:val="32"/>
          <w:szCs w:val="32"/>
        </w:rPr>
        <w:t>卫</w:t>
      </w:r>
      <w:r>
        <w:rPr>
          <w:rFonts w:hint="eastAsia"/>
          <w:spacing w:val="6"/>
          <w:sz w:val="32"/>
          <w:szCs w:val="32"/>
          <w:lang w:val="en-US" w:eastAsia="zh-CN"/>
        </w:rPr>
        <w:t>体局</w:t>
      </w:r>
      <w:r>
        <w:rPr>
          <w:spacing w:val="6"/>
          <w:sz w:val="32"/>
          <w:szCs w:val="32"/>
        </w:rPr>
        <w:t>、</w:t>
      </w:r>
      <w:r>
        <w:rPr>
          <w:rFonts w:hint="eastAsia"/>
          <w:spacing w:val="6"/>
          <w:sz w:val="32"/>
          <w:szCs w:val="32"/>
          <w:lang w:eastAsia="zh-CN"/>
        </w:rPr>
        <w:t>区</w:t>
      </w:r>
      <w:r>
        <w:rPr>
          <w:spacing w:val="6"/>
          <w:sz w:val="32"/>
          <w:szCs w:val="32"/>
        </w:rPr>
        <w:t>应急管理局、</w:t>
      </w:r>
      <w:r>
        <w:rPr>
          <w:rFonts w:hint="eastAsia"/>
          <w:spacing w:val="6"/>
          <w:sz w:val="32"/>
          <w:szCs w:val="32"/>
          <w:lang w:eastAsia="zh-CN"/>
        </w:rPr>
        <w:t>区</w:t>
      </w:r>
      <w:r>
        <w:rPr>
          <w:spacing w:val="6"/>
          <w:sz w:val="32"/>
          <w:szCs w:val="32"/>
        </w:rPr>
        <w:t>气象局、武警</w:t>
      </w:r>
      <w:r>
        <w:rPr>
          <w:rFonts w:hint="eastAsia"/>
          <w:spacing w:val="6"/>
          <w:sz w:val="32"/>
          <w:szCs w:val="32"/>
          <w:lang w:val="en-US" w:eastAsia="zh-CN"/>
        </w:rPr>
        <w:t>屯留中</w:t>
      </w:r>
      <w:r>
        <w:rPr>
          <w:spacing w:val="6"/>
          <w:sz w:val="32"/>
          <w:szCs w:val="32"/>
        </w:rPr>
        <w:t>队、</w:t>
      </w:r>
      <w:r>
        <w:rPr>
          <w:rFonts w:hint="eastAsia"/>
          <w:spacing w:val="6"/>
          <w:sz w:val="32"/>
          <w:szCs w:val="32"/>
          <w:lang w:eastAsia="zh-CN"/>
        </w:rPr>
        <w:t>区</w:t>
      </w:r>
      <w:r>
        <w:rPr>
          <w:spacing w:val="6"/>
          <w:sz w:val="32"/>
          <w:szCs w:val="32"/>
        </w:rPr>
        <w:t>消防救援</w:t>
      </w:r>
      <w:r>
        <w:rPr>
          <w:rFonts w:hint="eastAsia"/>
          <w:spacing w:val="6"/>
          <w:sz w:val="32"/>
          <w:szCs w:val="32"/>
          <w:lang w:val="en-US" w:eastAsia="zh-CN"/>
        </w:rPr>
        <w:t>大</w:t>
      </w:r>
      <w:r>
        <w:rPr>
          <w:spacing w:val="6"/>
          <w:sz w:val="32"/>
          <w:szCs w:val="32"/>
        </w:rPr>
        <w:t>队、</w:t>
      </w:r>
      <w:r>
        <w:rPr>
          <w:rFonts w:hint="eastAsia"/>
          <w:spacing w:val="6"/>
          <w:sz w:val="32"/>
          <w:szCs w:val="32"/>
          <w:lang w:eastAsia="zh-CN"/>
        </w:rPr>
        <w:t>区</w:t>
      </w:r>
      <w:r>
        <w:rPr>
          <w:rFonts w:hint="eastAsia"/>
          <w:spacing w:val="6"/>
          <w:sz w:val="32"/>
          <w:szCs w:val="32"/>
          <w:lang w:val="en-US" w:eastAsia="zh-CN"/>
        </w:rPr>
        <w:t>国网屯留</w:t>
      </w:r>
      <w:r>
        <w:rPr>
          <w:spacing w:val="6"/>
          <w:sz w:val="32"/>
          <w:szCs w:val="32"/>
        </w:rPr>
        <w:t>供电公司、</w:t>
      </w:r>
      <w:r>
        <w:rPr>
          <w:rFonts w:hint="eastAsia"/>
          <w:spacing w:val="6"/>
          <w:sz w:val="32"/>
          <w:szCs w:val="32"/>
          <w:lang w:val="en-US" w:eastAsia="zh-CN"/>
        </w:rPr>
        <w:t>区</w:t>
      </w:r>
      <w:r>
        <w:rPr>
          <w:sz w:val="32"/>
          <w:szCs w:val="32"/>
        </w:rPr>
        <w:t>移动公司、</w:t>
      </w:r>
      <w:r>
        <w:rPr>
          <w:rFonts w:hint="eastAsia"/>
          <w:sz w:val="32"/>
          <w:szCs w:val="32"/>
          <w:lang w:val="en-US" w:eastAsia="zh-CN"/>
        </w:rPr>
        <w:t>区</w:t>
      </w:r>
      <w:r>
        <w:rPr>
          <w:sz w:val="32"/>
          <w:szCs w:val="32"/>
        </w:rPr>
        <w:t>联通公</w:t>
      </w:r>
      <w:r>
        <w:rPr>
          <w:spacing w:val="6"/>
          <w:sz w:val="32"/>
          <w:szCs w:val="32"/>
        </w:rPr>
        <w:t>司、</w:t>
      </w:r>
      <w:r>
        <w:rPr>
          <w:rFonts w:hint="eastAsia"/>
          <w:spacing w:val="6"/>
          <w:sz w:val="32"/>
          <w:szCs w:val="32"/>
          <w:lang w:val="en-US" w:eastAsia="zh-CN"/>
        </w:rPr>
        <w:t>区</w:t>
      </w:r>
      <w:r>
        <w:rPr>
          <w:spacing w:val="6"/>
          <w:sz w:val="32"/>
          <w:szCs w:val="32"/>
        </w:rPr>
        <w:t>电信公司</w:t>
      </w:r>
      <w:r>
        <w:rPr>
          <w:rFonts w:hint="eastAsia"/>
          <w:spacing w:val="6"/>
          <w:sz w:val="32"/>
          <w:szCs w:val="32"/>
          <w:lang w:eastAsia="zh-CN"/>
        </w:rPr>
        <w:t>。</w:t>
      </w:r>
    </w:p>
    <w:p>
      <w:pPr>
        <w:keepNext w:val="0"/>
        <w:keepLines w:val="0"/>
        <w:pageBreakBefore w:val="0"/>
        <w:widowControl/>
        <w:wordWrap/>
        <w:overflowPunct/>
        <w:topLinePunct w:val="0"/>
        <w:bidi w:val="0"/>
        <w:spacing w:line="580" w:lineRule="exact"/>
        <w:ind w:firstLine="652" w:firstLineChars="200"/>
        <w:jc w:val="both"/>
        <w:rPr>
          <w:rFonts w:ascii="仿宋" w:hAnsi="仿宋" w:eastAsia="仿宋" w:cs="仿宋"/>
          <w:snapToGrid w:val="0"/>
          <w:color w:val="000000"/>
          <w:spacing w:val="6"/>
          <w:kern w:val="0"/>
          <w:sz w:val="32"/>
          <w:szCs w:val="32"/>
          <w:lang w:val="en-US" w:eastAsia="en-US" w:bidi="ar-SA"/>
        </w:rPr>
      </w:pPr>
      <w:r>
        <w:rPr>
          <w:rFonts w:ascii="楷体" w:hAnsi="楷体" w:eastAsia="楷体" w:cs="楷体"/>
          <w:spacing w:val="3"/>
          <w:sz w:val="32"/>
          <w:szCs w:val="32"/>
        </w:rPr>
        <w:t xml:space="preserve">2.2 </w:t>
      </w:r>
      <w:r>
        <w:rPr>
          <w:rFonts w:ascii="仿宋" w:hAnsi="仿宋" w:eastAsia="仿宋" w:cs="仿宋"/>
          <w:snapToGrid w:val="0"/>
          <w:color w:val="000000"/>
          <w:spacing w:val="6"/>
          <w:kern w:val="0"/>
          <w:sz w:val="32"/>
          <w:szCs w:val="32"/>
          <w:lang w:val="en-US" w:eastAsia="en-US" w:bidi="ar-SA"/>
        </w:rPr>
        <w:t xml:space="preserve"> </w:t>
      </w:r>
      <w:r>
        <w:rPr>
          <w:rFonts w:hint="eastAsia" w:ascii="仿宋" w:hAnsi="仿宋" w:eastAsia="仿宋" w:cs="仿宋"/>
          <w:snapToGrid w:val="0"/>
          <w:color w:val="000000"/>
          <w:spacing w:val="6"/>
          <w:kern w:val="0"/>
          <w:sz w:val="32"/>
          <w:szCs w:val="32"/>
          <w:lang w:val="en-US" w:eastAsia="zh-CN" w:bidi="ar-SA"/>
        </w:rPr>
        <w:t>区</w:t>
      </w:r>
      <w:r>
        <w:rPr>
          <w:rFonts w:ascii="仿宋" w:hAnsi="仿宋" w:eastAsia="仿宋" w:cs="仿宋"/>
          <w:snapToGrid w:val="0"/>
          <w:color w:val="000000"/>
          <w:spacing w:val="6"/>
          <w:kern w:val="0"/>
          <w:sz w:val="32"/>
          <w:szCs w:val="32"/>
          <w:lang w:val="en-US" w:eastAsia="en-US" w:bidi="ar-SA"/>
        </w:rPr>
        <w:t>地质灾害应急指挥部（以下简称</w:t>
      </w:r>
      <w:r>
        <w:rPr>
          <w:rFonts w:hint="eastAsia" w:ascii="仿宋" w:hAnsi="仿宋" w:eastAsia="仿宋" w:cs="仿宋"/>
          <w:snapToGrid w:val="0"/>
          <w:color w:val="000000"/>
          <w:spacing w:val="6"/>
          <w:kern w:val="0"/>
          <w:sz w:val="32"/>
          <w:szCs w:val="32"/>
          <w:lang w:val="en-US" w:eastAsia="zh-CN" w:bidi="ar-SA"/>
        </w:rPr>
        <w:t>区</w:t>
      </w:r>
      <w:r>
        <w:rPr>
          <w:rFonts w:ascii="仿宋" w:hAnsi="仿宋" w:eastAsia="仿宋" w:cs="仿宋"/>
          <w:snapToGrid w:val="0"/>
          <w:color w:val="000000"/>
          <w:spacing w:val="6"/>
          <w:kern w:val="0"/>
          <w:sz w:val="32"/>
          <w:szCs w:val="32"/>
          <w:lang w:val="en-US" w:eastAsia="en-US" w:bidi="ar-SA"/>
        </w:rPr>
        <w:t>指挥部）下设办公室</w:t>
      </w:r>
      <w:r>
        <w:rPr>
          <w:rFonts w:hint="eastAsia" w:ascii="仿宋" w:hAnsi="仿宋" w:eastAsia="仿宋" w:cs="仿宋"/>
          <w:snapToGrid w:val="0"/>
          <w:color w:val="000000"/>
          <w:spacing w:val="6"/>
          <w:kern w:val="0"/>
          <w:sz w:val="32"/>
          <w:szCs w:val="32"/>
          <w:lang w:val="en-US" w:eastAsia="zh-CN" w:bidi="ar-SA"/>
        </w:rPr>
        <w:t>，</w:t>
      </w:r>
      <w:r>
        <w:rPr>
          <w:rFonts w:ascii="仿宋" w:hAnsi="仿宋" w:eastAsia="仿宋" w:cs="仿宋"/>
          <w:snapToGrid w:val="0"/>
          <w:color w:val="000000"/>
          <w:spacing w:val="6"/>
          <w:kern w:val="0"/>
          <w:sz w:val="32"/>
          <w:szCs w:val="32"/>
          <w:lang w:val="en-US" w:eastAsia="en-US" w:bidi="ar-SA"/>
        </w:rPr>
        <w:t>办公室设在</w:t>
      </w:r>
      <w:r>
        <w:rPr>
          <w:rFonts w:hint="eastAsia" w:ascii="仿宋" w:hAnsi="仿宋" w:eastAsia="仿宋" w:cs="仿宋"/>
          <w:snapToGrid w:val="0"/>
          <w:color w:val="000000"/>
          <w:spacing w:val="6"/>
          <w:kern w:val="0"/>
          <w:sz w:val="32"/>
          <w:szCs w:val="32"/>
          <w:lang w:val="en-US" w:eastAsia="zh-CN" w:bidi="ar-SA"/>
        </w:rPr>
        <w:t>区</w:t>
      </w:r>
      <w:r>
        <w:rPr>
          <w:rFonts w:ascii="仿宋" w:hAnsi="仿宋" w:eastAsia="仿宋" w:cs="仿宋"/>
          <w:snapToGrid w:val="0"/>
          <w:color w:val="000000"/>
          <w:spacing w:val="6"/>
          <w:kern w:val="0"/>
          <w:sz w:val="32"/>
          <w:szCs w:val="32"/>
          <w:lang w:val="en-US" w:eastAsia="en-US" w:bidi="ar-SA"/>
        </w:rPr>
        <w:t>应急管理局，办公室主任由</w:t>
      </w:r>
      <w:r>
        <w:rPr>
          <w:rFonts w:hint="eastAsia" w:ascii="仿宋" w:hAnsi="仿宋" w:eastAsia="仿宋" w:cs="仿宋"/>
          <w:snapToGrid w:val="0"/>
          <w:color w:val="000000"/>
          <w:spacing w:val="6"/>
          <w:kern w:val="0"/>
          <w:sz w:val="32"/>
          <w:szCs w:val="32"/>
          <w:lang w:val="en-US" w:eastAsia="zh-CN" w:bidi="ar-SA"/>
        </w:rPr>
        <w:t>区</w:t>
      </w:r>
      <w:r>
        <w:rPr>
          <w:rFonts w:ascii="仿宋" w:hAnsi="仿宋" w:eastAsia="仿宋" w:cs="仿宋"/>
          <w:snapToGrid w:val="0"/>
          <w:color w:val="000000"/>
          <w:spacing w:val="6"/>
          <w:kern w:val="0"/>
          <w:sz w:val="32"/>
          <w:szCs w:val="32"/>
          <w:lang w:val="en-US" w:eastAsia="en-US" w:bidi="ar-SA"/>
        </w:rPr>
        <w:t>应急管理局</w:t>
      </w:r>
      <w:r>
        <w:rPr>
          <w:rFonts w:hint="eastAsia" w:ascii="仿宋" w:hAnsi="仿宋" w:eastAsia="仿宋" w:cs="仿宋"/>
          <w:snapToGrid w:val="0"/>
          <w:color w:val="000000"/>
          <w:spacing w:val="6"/>
          <w:kern w:val="0"/>
          <w:sz w:val="32"/>
          <w:szCs w:val="32"/>
          <w:lang w:val="en-US" w:eastAsia="zh-CN" w:bidi="ar-SA"/>
        </w:rPr>
        <w:t>局长</w:t>
      </w:r>
      <w:r>
        <w:rPr>
          <w:rFonts w:ascii="仿宋" w:hAnsi="仿宋" w:eastAsia="仿宋" w:cs="仿宋"/>
          <w:snapToGrid w:val="0"/>
          <w:color w:val="000000"/>
          <w:spacing w:val="6"/>
          <w:kern w:val="0"/>
          <w:sz w:val="32"/>
          <w:szCs w:val="32"/>
          <w:lang w:val="en-US" w:eastAsia="en-US" w:bidi="ar-SA"/>
        </w:rPr>
        <w:t>与</w:t>
      </w:r>
      <w:r>
        <w:rPr>
          <w:rFonts w:hint="eastAsia" w:ascii="仿宋" w:hAnsi="仿宋" w:eastAsia="仿宋" w:cs="仿宋"/>
          <w:snapToGrid w:val="0"/>
          <w:color w:val="000000"/>
          <w:spacing w:val="6"/>
          <w:kern w:val="0"/>
          <w:sz w:val="32"/>
          <w:szCs w:val="32"/>
          <w:lang w:val="en-US" w:eastAsia="zh-CN" w:bidi="ar-SA"/>
        </w:rPr>
        <w:t>区</w:t>
      </w:r>
      <w:r>
        <w:rPr>
          <w:rFonts w:ascii="仿宋" w:hAnsi="仿宋" w:eastAsia="仿宋" w:cs="仿宋"/>
          <w:snapToGrid w:val="0"/>
          <w:color w:val="000000"/>
          <w:spacing w:val="6"/>
          <w:kern w:val="0"/>
          <w:sz w:val="32"/>
          <w:szCs w:val="32"/>
          <w:lang w:val="en-US" w:eastAsia="en-US" w:bidi="ar-SA"/>
        </w:rPr>
        <w:t>自然资源局局长兼任（</w:t>
      </w:r>
      <w:r>
        <w:rPr>
          <w:rFonts w:hint="eastAsia" w:ascii="仿宋" w:hAnsi="仿宋" w:eastAsia="仿宋" w:cs="仿宋"/>
          <w:snapToGrid w:val="0"/>
          <w:color w:val="000000"/>
          <w:spacing w:val="6"/>
          <w:kern w:val="0"/>
          <w:sz w:val="32"/>
          <w:szCs w:val="32"/>
          <w:lang w:val="en-US" w:eastAsia="zh-CN" w:bidi="ar-SA"/>
        </w:rPr>
        <w:t>区</w:t>
      </w:r>
      <w:r>
        <w:rPr>
          <w:rFonts w:ascii="仿宋" w:hAnsi="仿宋" w:eastAsia="仿宋" w:cs="仿宋"/>
          <w:snapToGrid w:val="0"/>
          <w:color w:val="000000"/>
          <w:spacing w:val="6"/>
          <w:kern w:val="0"/>
          <w:sz w:val="32"/>
          <w:szCs w:val="32"/>
          <w:lang w:val="en-US" w:eastAsia="en-US" w:bidi="ar-SA"/>
        </w:rPr>
        <w:t>指挥部及办公室、成员单位</w:t>
      </w:r>
      <w:r>
        <w:rPr>
          <w:rFonts w:hint="eastAsia" w:ascii="仿宋" w:hAnsi="仿宋" w:eastAsia="仿宋" w:cs="仿宋"/>
          <w:snapToGrid w:val="0"/>
          <w:color w:val="000000"/>
          <w:spacing w:val="6"/>
          <w:kern w:val="0"/>
          <w:sz w:val="32"/>
          <w:szCs w:val="32"/>
          <w:lang w:val="en-US" w:eastAsia="zh-CN" w:bidi="ar-SA"/>
        </w:rPr>
        <w:t>职</w:t>
      </w:r>
      <w:r>
        <w:rPr>
          <w:rFonts w:ascii="仿宋" w:hAnsi="仿宋" w:eastAsia="仿宋" w:cs="仿宋"/>
          <w:snapToGrid w:val="0"/>
          <w:color w:val="000000"/>
          <w:spacing w:val="6"/>
          <w:kern w:val="0"/>
          <w:sz w:val="32"/>
          <w:szCs w:val="32"/>
          <w:lang w:val="en-US" w:eastAsia="en-US" w:bidi="ar-SA"/>
        </w:rPr>
        <w:t>责见附件</w:t>
      </w:r>
      <w:r>
        <w:rPr>
          <w:rFonts w:hint="eastAsia" w:ascii="仿宋" w:hAnsi="仿宋" w:eastAsia="仿宋" w:cs="仿宋"/>
          <w:snapToGrid w:val="0"/>
          <w:color w:val="000000"/>
          <w:spacing w:val="6"/>
          <w:kern w:val="0"/>
          <w:sz w:val="32"/>
          <w:szCs w:val="32"/>
          <w:lang w:val="en-US" w:eastAsia="zh-CN" w:bidi="ar-SA"/>
        </w:rPr>
        <w:t>3）。</w:t>
      </w:r>
    </w:p>
    <w:p>
      <w:pPr>
        <w:keepNext w:val="0"/>
        <w:keepLines w:val="0"/>
        <w:pageBreakBefore w:val="0"/>
        <w:widowControl/>
        <w:wordWrap/>
        <w:overflowPunct/>
        <w:topLinePunct w:val="0"/>
        <w:bidi w:val="0"/>
        <w:spacing w:line="580" w:lineRule="exact"/>
        <w:ind w:left="636"/>
        <w:jc w:val="both"/>
        <w:outlineLvl w:val="0"/>
        <w:rPr>
          <w:rFonts w:ascii="黑体" w:hAnsi="黑体" w:eastAsia="黑体" w:cs="黑体"/>
          <w:sz w:val="32"/>
          <w:szCs w:val="32"/>
        </w:rPr>
      </w:pPr>
      <w:r>
        <w:rPr>
          <w:rFonts w:ascii="黑体" w:hAnsi="黑体" w:eastAsia="黑体" w:cs="黑体"/>
          <w:spacing w:val="1"/>
          <w:sz w:val="32"/>
          <w:szCs w:val="32"/>
        </w:rPr>
        <w:t>3</w:t>
      </w:r>
      <w:r>
        <w:rPr>
          <w:rFonts w:ascii="黑体" w:hAnsi="黑体" w:eastAsia="黑体" w:cs="黑体"/>
          <w:spacing w:val="8"/>
          <w:sz w:val="32"/>
          <w:szCs w:val="32"/>
        </w:rPr>
        <w:t xml:space="preserve">  </w:t>
      </w:r>
      <w:r>
        <w:rPr>
          <w:rFonts w:ascii="黑体" w:hAnsi="黑体" w:eastAsia="黑体" w:cs="黑体"/>
          <w:spacing w:val="1"/>
          <w:sz w:val="32"/>
          <w:szCs w:val="32"/>
        </w:rPr>
        <w:t>风险防控</w:t>
      </w:r>
    </w:p>
    <w:p>
      <w:pPr>
        <w:pStyle w:val="3"/>
        <w:keepNext w:val="0"/>
        <w:keepLines w:val="0"/>
        <w:pageBreakBefore w:val="0"/>
        <w:widowControl/>
        <w:wordWrap/>
        <w:overflowPunct/>
        <w:topLinePunct w:val="0"/>
        <w:bidi w:val="0"/>
        <w:spacing w:line="580" w:lineRule="exact"/>
        <w:ind w:right="80" w:firstLine="635"/>
        <w:jc w:val="both"/>
        <w:rPr>
          <w:sz w:val="32"/>
          <w:szCs w:val="32"/>
        </w:rPr>
      </w:pPr>
      <w:r>
        <w:rPr>
          <w:spacing w:val="6"/>
          <w:sz w:val="32"/>
          <w:szCs w:val="32"/>
        </w:rPr>
        <w:t>自然资源</w:t>
      </w:r>
      <w:r>
        <w:rPr>
          <w:rFonts w:hint="eastAsia"/>
          <w:spacing w:val="6"/>
          <w:sz w:val="32"/>
          <w:szCs w:val="32"/>
          <w:lang w:val="en-US" w:eastAsia="zh-CN"/>
        </w:rPr>
        <w:t>局</w:t>
      </w:r>
      <w:r>
        <w:rPr>
          <w:spacing w:val="6"/>
          <w:sz w:val="32"/>
          <w:szCs w:val="32"/>
        </w:rPr>
        <w:t>会同住建、水利、交通等部门依法对地质灾害风险区域、风险点进行调查、辨识、评估，制定防控措施，定期进行巡查、监测，按地质灾害防治规划和年度地质灾害防治方案组织开展防治工作。要健全地质灾害防治</w:t>
      </w:r>
      <w:r>
        <w:rPr>
          <w:spacing w:val="-2"/>
          <w:sz w:val="32"/>
          <w:szCs w:val="32"/>
        </w:rPr>
        <w:t>制度，明确防治责任，建立完善</w:t>
      </w:r>
      <w:r>
        <w:rPr>
          <w:rFonts w:hint="eastAsia"/>
          <w:spacing w:val="-2"/>
          <w:sz w:val="32"/>
          <w:szCs w:val="32"/>
          <w:lang w:val="en-US" w:eastAsia="zh-CN"/>
        </w:rPr>
        <w:t>区</w:t>
      </w:r>
      <w:r>
        <w:rPr>
          <w:spacing w:val="-2"/>
          <w:sz w:val="32"/>
          <w:szCs w:val="32"/>
        </w:rPr>
        <w:t>、乡、村、矿山企业及住建、</w:t>
      </w:r>
      <w:r>
        <w:rPr>
          <w:spacing w:val="6"/>
          <w:sz w:val="32"/>
          <w:szCs w:val="32"/>
        </w:rPr>
        <w:t>水利、交通等相关部门共同参与的地质灾害风险防控体系，严格落实巡查、定点监测制度和风险管控措施，防范化解地质灾</w:t>
      </w:r>
      <w:r>
        <w:rPr>
          <w:spacing w:val="3"/>
          <w:sz w:val="32"/>
          <w:szCs w:val="32"/>
        </w:rPr>
        <w:t>害风险。</w:t>
      </w:r>
    </w:p>
    <w:p>
      <w:pPr>
        <w:keepNext w:val="0"/>
        <w:keepLines w:val="0"/>
        <w:pageBreakBefore w:val="0"/>
        <w:widowControl/>
        <w:wordWrap/>
        <w:overflowPunct/>
        <w:topLinePunct w:val="0"/>
        <w:bidi w:val="0"/>
        <w:spacing w:line="580" w:lineRule="exact"/>
        <w:ind w:left="627"/>
        <w:jc w:val="both"/>
        <w:outlineLvl w:val="1"/>
        <w:rPr>
          <w:rFonts w:ascii="黑体" w:hAnsi="黑体" w:eastAsia="黑体" w:cs="黑体"/>
          <w:sz w:val="32"/>
          <w:szCs w:val="32"/>
        </w:rPr>
      </w:pPr>
      <w:r>
        <w:rPr>
          <w:rFonts w:ascii="黑体" w:hAnsi="黑体" w:eastAsia="黑体" w:cs="黑体"/>
          <w:spacing w:val="4"/>
          <w:sz w:val="32"/>
          <w:szCs w:val="32"/>
        </w:rPr>
        <w:t>4  监测和预警</w:t>
      </w:r>
    </w:p>
    <w:p>
      <w:pPr>
        <w:pStyle w:val="3"/>
        <w:keepNext w:val="0"/>
        <w:keepLines w:val="0"/>
        <w:pageBreakBefore w:val="0"/>
        <w:widowControl/>
        <w:wordWrap/>
        <w:overflowPunct/>
        <w:topLinePunct w:val="0"/>
        <w:bidi w:val="0"/>
        <w:spacing w:line="580" w:lineRule="exact"/>
        <w:ind w:left="11" w:right="65" w:firstLine="638" w:firstLineChars="202"/>
        <w:jc w:val="both"/>
        <w:rPr>
          <w:sz w:val="32"/>
          <w:szCs w:val="32"/>
        </w:rPr>
      </w:pPr>
      <w:r>
        <w:rPr>
          <w:rFonts w:hint="eastAsia"/>
          <w:spacing w:val="-2"/>
          <w:sz w:val="32"/>
          <w:szCs w:val="32"/>
          <w:lang w:val="en-US" w:eastAsia="zh-CN"/>
        </w:rPr>
        <w:t>自然资源局、水利局、气象局</w:t>
      </w:r>
      <w:r>
        <w:rPr>
          <w:spacing w:val="-2"/>
          <w:sz w:val="32"/>
          <w:szCs w:val="32"/>
        </w:rPr>
        <w:t>要加强地质灾害监测系统建设</w:t>
      </w:r>
      <w:r>
        <w:rPr>
          <w:rFonts w:hint="eastAsia"/>
          <w:spacing w:val="-2"/>
          <w:sz w:val="32"/>
          <w:szCs w:val="32"/>
          <w:lang w:eastAsia="zh-CN"/>
        </w:rPr>
        <w:t>。</w:t>
      </w:r>
      <w:r>
        <w:rPr>
          <w:spacing w:val="-2"/>
          <w:sz w:val="32"/>
          <w:szCs w:val="32"/>
        </w:rPr>
        <w:t>建立健全</w:t>
      </w:r>
      <w:r>
        <w:rPr>
          <w:rFonts w:hint="eastAsia"/>
          <w:spacing w:val="-2"/>
          <w:sz w:val="32"/>
          <w:szCs w:val="32"/>
          <w:lang w:val="en-US" w:eastAsia="zh-CN"/>
        </w:rPr>
        <w:t>区、乡、村</w:t>
      </w:r>
      <w:r>
        <w:rPr>
          <w:spacing w:val="6"/>
          <w:sz w:val="32"/>
          <w:szCs w:val="32"/>
        </w:rPr>
        <w:t>三级地质灾害群测群防网络体系和群专结合的地质灾害防治机制，建立地质灾害防治技术支撑体系，配备监测预警设</w:t>
      </w:r>
      <w:r>
        <w:rPr>
          <w:spacing w:val="-2"/>
          <w:sz w:val="32"/>
          <w:szCs w:val="32"/>
        </w:rPr>
        <w:t>备，加强专业技能培训。</w:t>
      </w:r>
      <w:r>
        <w:rPr>
          <w:rFonts w:hint="eastAsia"/>
          <w:spacing w:val="-2"/>
          <w:sz w:val="32"/>
          <w:szCs w:val="32"/>
          <w:lang w:val="en-US" w:eastAsia="zh-CN"/>
        </w:rPr>
        <w:t>自然资源局应</w:t>
      </w:r>
      <w:r>
        <w:rPr>
          <w:spacing w:val="-2"/>
          <w:sz w:val="32"/>
          <w:szCs w:val="32"/>
        </w:rPr>
        <w:t>会同住建、水利</w:t>
      </w:r>
      <w:r>
        <w:rPr>
          <w:rFonts w:hint="eastAsia"/>
          <w:spacing w:val="-2"/>
          <w:sz w:val="32"/>
          <w:szCs w:val="32"/>
          <w:lang w:eastAsia="zh-CN"/>
        </w:rPr>
        <w:t>、</w:t>
      </w:r>
      <w:r>
        <w:rPr>
          <w:spacing w:val="6"/>
          <w:sz w:val="32"/>
          <w:szCs w:val="32"/>
        </w:rPr>
        <w:t>交通运输等部门在受地质灾害威胁严重的人口密集区、公路、铁路干线及矿山等重要工程地段，建立地质、水文、气象监测点，实现监测信息共享，开展综合监测预警工作。监测人员和监测单位发现地质灾害前兆后，要立即向自然资源</w:t>
      </w:r>
      <w:r>
        <w:rPr>
          <w:rFonts w:hint="eastAsia"/>
          <w:spacing w:val="6"/>
          <w:sz w:val="32"/>
          <w:szCs w:val="32"/>
          <w:lang w:val="en-US" w:eastAsia="zh-CN"/>
        </w:rPr>
        <w:t>局</w:t>
      </w:r>
      <w:r>
        <w:rPr>
          <w:spacing w:val="6"/>
          <w:sz w:val="32"/>
          <w:szCs w:val="32"/>
        </w:rPr>
        <w:t>报</w:t>
      </w:r>
      <w:r>
        <w:rPr>
          <w:spacing w:val="5"/>
          <w:sz w:val="32"/>
          <w:szCs w:val="32"/>
        </w:rPr>
        <w:t>告，自然资源</w:t>
      </w:r>
      <w:r>
        <w:rPr>
          <w:rFonts w:hint="eastAsia"/>
          <w:spacing w:val="5"/>
          <w:sz w:val="32"/>
          <w:szCs w:val="32"/>
          <w:lang w:val="en-US" w:eastAsia="zh-CN"/>
        </w:rPr>
        <w:t>局</w:t>
      </w:r>
      <w:r>
        <w:rPr>
          <w:spacing w:val="5"/>
          <w:sz w:val="32"/>
          <w:szCs w:val="32"/>
        </w:rPr>
        <w:t>及时研判处置发出预警。</w:t>
      </w:r>
    </w:p>
    <w:p>
      <w:pPr>
        <w:pStyle w:val="3"/>
        <w:keepNext w:val="0"/>
        <w:keepLines w:val="0"/>
        <w:pageBreakBefore w:val="0"/>
        <w:widowControl/>
        <w:wordWrap/>
        <w:overflowPunct/>
        <w:topLinePunct w:val="0"/>
        <w:bidi w:val="0"/>
        <w:spacing w:line="580" w:lineRule="exact"/>
        <w:ind w:right="65" w:firstLine="677"/>
        <w:jc w:val="both"/>
        <w:rPr>
          <w:rFonts w:hint="eastAsia" w:eastAsia="仿宋"/>
          <w:sz w:val="32"/>
          <w:szCs w:val="32"/>
          <w:lang w:val="en-US" w:eastAsia="zh-CN"/>
        </w:rPr>
      </w:pPr>
      <w:r>
        <w:rPr>
          <w:spacing w:val="2"/>
          <w:sz w:val="32"/>
          <w:szCs w:val="32"/>
        </w:rPr>
        <w:t>因气象原因可能引发地质灾害发生时，由自然资源</w:t>
      </w:r>
      <w:r>
        <w:rPr>
          <w:rFonts w:hint="eastAsia"/>
          <w:spacing w:val="2"/>
          <w:sz w:val="32"/>
          <w:szCs w:val="32"/>
          <w:lang w:val="en-US" w:eastAsia="zh-CN"/>
        </w:rPr>
        <w:t>局</w:t>
      </w:r>
      <w:r>
        <w:rPr>
          <w:spacing w:val="3"/>
          <w:sz w:val="32"/>
          <w:szCs w:val="32"/>
        </w:rPr>
        <w:t>和气象</w:t>
      </w:r>
      <w:r>
        <w:rPr>
          <w:rFonts w:hint="eastAsia"/>
          <w:spacing w:val="3"/>
          <w:sz w:val="32"/>
          <w:szCs w:val="32"/>
          <w:lang w:val="en-US" w:eastAsia="zh-CN"/>
        </w:rPr>
        <w:t>局</w:t>
      </w:r>
      <w:r>
        <w:rPr>
          <w:spacing w:val="3"/>
          <w:sz w:val="32"/>
          <w:szCs w:val="32"/>
        </w:rPr>
        <w:t>联合发布地质灾害气象风险预警。由低到高分四</w:t>
      </w:r>
      <w:r>
        <w:rPr>
          <w:spacing w:val="5"/>
          <w:sz w:val="32"/>
          <w:szCs w:val="32"/>
        </w:rPr>
        <w:t>个级别</w:t>
      </w:r>
      <w:r>
        <w:rPr>
          <w:rFonts w:hint="eastAsia"/>
          <w:spacing w:val="5"/>
          <w:sz w:val="32"/>
          <w:szCs w:val="32"/>
          <w:lang w:val="en-US" w:eastAsia="zh-CN"/>
        </w:rPr>
        <w:t xml:space="preserve">  </w:t>
      </w:r>
      <w:r>
        <w:rPr>
          <w:rFonts w:hint="eastAsia"/>
          <w:spacing w:val="5"/>
          <w:sz w:val="32"/>
          <w:szCs w:val="32"/>
          <w:lang w:eastAsia="zh-CN"/>
        </w:rPr>
        <w:t>（</w:t>
      </w:r>
      <w:r>
        <w:rPr>
          <w:spacing w:val="5"/>
          <w:sz w:val="32"/>
          <w:szCs w:val="32"/>
        </w:rPr>
        <w:t>各级别含义及预警措施见附件</w:t>
      </w:r>
      <w:r>
        <w:rPr>
          <w:rFonts w:hint="eastAsia" w:ascii="仿宋" w:hAnsi="仿宋" w:eastAsia="仿宋" w:cs="仿宋"/>
          <w:i w:val="0"/>
          <w:caps w:val="0"/>
          <w:color w:val="333333"/>
          <w:spacing w:val="0"/>
          <w:kern w:val="0"/>
          <w:sz w:val="32"/>
          <w:szCs w:val="32"/>
          <w:shd w:val="clear" w:fill="FFFFFF"/>
          <w:lang w:val="en-US" w:eastAsia="zh-CN" w:bidi="ar"/>
        </w:rPr>
        <w:t>4</w:t>
      </w:r>
      <w:r>
        <w:rPr>
          <w:spacing w:val="-81"/>
          <w:w w:val="93"/>
          <w:sz w:val="32"/>
          <w:szCs w:val="32"/>
        </w:rPr>
        <w:t>）</w:t>
      </w:r>
      <w:r>
        <w:rPr>
          <w:spacing w:val="5"/>
          <w:sz w:val="32"/>
          <w:szCs w:val="32"/>
        </w:rPr>
        <w:t>。</w:t>
      </w:r>
    </w:p>
    <w:p>
      <w:pPr>
        <w:keepNext w:val="0"/>
        <w:keepLines w:val="0"/>
        <w:pageBreakBefore w:val="0"/>
        <w:widowControl/>
        <w:wordWrap/>
        <w:overflowPunct/>
        <w:topLinePunct w:val="0"/>
        <w:bidi w:val="0"/>
        <w:spacing w:line="580" w:lineRule="exact"/>
        <w:ind w:left="631"/>
        <w:jc w:val="both"/>
        <w:outlineLvl w:val="0"/>
        <w:rPr>
          <w:rFonts w:ascii="黑体" w:hAnsi="黑体" w:eastAsia="黑体" w:cs="黑体"/>
          <w:sz w:val="32"/>
          <w:szCs w:val="32"/>
        </w:rPr>
      </w:pPr>
      <w:r>
        <w:rPr>
          <w:rFonts w:ascii="黑体" w:hAnsi="黑体" w:eastAsia="黑体" w:cs="黑体"/>
          <w:spacing w:val="4"/>
          <w:sz w:val="32"/>
          <w:szCs w:val="32"/>
        </w:rPr>
        <w:t>5  应急处置与救援</w:t>
      </w:r>
    </w:p>
    <w:p>
      <w:pPr>
        <w:keepNext w:val="0"/>
        <w:keepLines w:val="0"/>
        <w:pageBreakBefore w:val="0"/>
        <w:widowControl/>
        <w:wordWrap/>
        <w:overflowPunct/>
        <w:topLinePunct w:val="0"/>
        <w:bidi w:val="0"/>
        <w:spacing w:line="580" w:lineRule="exact"/>
        <w:ind w:left="631"/>
        <w:jc w:val="both"/>
        <w:outlineLvl w:val="1"/>
        <w:rPr>
          <w:rFonts w:ascii="楷体" w:hAnsi="楷体" w:eastAsia="楷体" w:cs="楷体"/>
          <w:sz w:val="32"/>
          <w:szCs w:val="32"/>
        </w:rPr>
      </w:pPr>
      <w:r>
        <w:rPr>
          <w:rFonts w:ascii="楷体" w:hAnsi="楷体" w:eastAsia="楷体" w:cs="楷体"/>
          <w:spacing w:val="4"/>
          <w:sz w:val="32"/>
          <w:szCs w:val="32"/>
        </w:rPr>
        <w:t>5.1  信息报送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kern w:val="0"/>
          <w:sz w:val="32"/>
          <w:szCs w:val="32"/>
          <w:shd w:val="clear" w:fill="FFFFFF"/>
          <w:lang w:val="en-US" w:eastAsia="zh-CN" w:bidi="ar"/>
        </w:rPr>
        <w:t>地质灾害发生后，各乡镇（街道、中心）应在1小时内上报区政府和区地质灾害应急指挥部办公室，区政府及区应急局在2小时内分别报市政府、市应急局。信息报送内容：根据已获得的信息，报告地质灾害发生的时间、地点（镇村或单位）、伤亡和失踪人数，初步估算造成的直接经济损失，以及地质灾害类型、规模、诱发因素和发展趋势，同时应报告所采取的应急措施。</w:t>
      </w:r>
    </w:p>
    <w:p>
      <w:pPr>
        <w:keepNext w:val="0"/>
        <w:keepLines w:val="0"/>
        <w:pageBreakBefore w:val="0"/>
        <w:widowControl/>
        <w:wordWrap/>
        <w:overflowPunct/>
        <w:topLinePunct w:val="0"/>
        <w:bidi w:val="0"/>
        <w:spacing w:line="580" w:lineRule="exact"/>
        <w:ind w:left="627"/>
        <w:jc w:val="both"/>
        <w:outlineLvl w:val="1"/>
        <w:rPr>
          <w:rFonts w:ascii="楷体" w:hAnsi="楷体" w:eastAsia="楷体" w:cs="楷体"/>
          <w:sz w:val="32"/>
          <w:szCs w:val="32"/>
        </w:rPr>
      </w:pPr>
      <w:r>
        <w:rPr>
          <w:rFonts w:ascii="楷体" w:hAnsi="楷体" w:eastAsia="楷体" w:cs="楷体"/>
          <w:spacing w:val="4"/>
          <w:sz w:val="32"/>
          <w:szCs w:val="32"/>
        </w:rPr>
        <w:t>5.2  先期处置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地质灾害险情或灾情发生后，事发地乡镇人民政府作为第一响应责任单位，在接到灾害信息后，按照本级预案视情启动应急响应。事发地乡镇政府应当依照群测群防责任制的规定，立即将有关信息通知到地质灾害危险点的防灾责任人、监测人和该区域内的群众；有关人员接到通知后应立即赶赴现场开展警戒、疏散群众、控制现场、救护、抢险、收集现场动态信息、判定地质灾害级别等基础处置工作；划定地质灾害危险区，设立明显的危险区警示标志，确定预警信号和撤离路线，及时动员受到地质灾害威胁的居民及其他人员按预案设计的撤离路线和避让地点转移到安全地带；根据险情和灾情具体情况提出应急对策，情况危急时应强制组织受威胁群众避灾疏散，防止灾情进一步扩大。</w:t>
      </w:r>
    </w:p>
    <w:p>
      <w:pPr>
        <w:keepNext w:val="0"/>
        <w:keepLines w:val="0"/>
        <w:pageBreakBefore w:val="0"/>
        <w:widowControl/>
        <w:wordWrap/>
        <w:overflowPunct/>
        <w:topLinePunct w:val="0"/>
        <w:bidi w:val="0"/>
        <w:spacing w:line="580" w:lineRule="exact"/>
        <w:ind w:left="627"/>
        <w:jc w:val="both"/>
        <w:outlineLvl w:val="1"/>
        <w:rPr>
          <w:rFonts w:ascii="楷体" w:hAnsi="楷体" w:eastAsia="楷体" w:cs="楷体"/>
          <w:sz w:val="32"/>
          <w:szCs w:val="32"/>
        </w:rPr>
      </w:pPr>
      <w:r>
        <w:rPr>
          <w:rFonts w:ascii="楷体" w:hAnsi="楷体" w:eastAsia="楷体" w:cs="楷体"/>
          <w:spacing w:val="4"/>
          <w:sz w:val="32"/>
          <w:szCs w:val="32"/>
        </w:rPr>
        <w:t>5.3  应急响应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5.3.1  发生地质灾害，地方人民政府或者自然资源主管部门应当按有关地质灾害速报规定，及时向区地质灾害应急指挥部办公室报告，并向区人民政府报告。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5.3.2  应急指挥部办公室接到报告后，应根据灾情立即派出应急调查组或工作组，赶赴灾区调查，核实灾情、采取有效应急措施，防止灾情扩大。并向领导组提出启动灾害应急预案的建议。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5.3.3  应急指挥部接到启动预案的建议后，应立即召开领导组紧急会议，进行灾情会商，决定启动灾害应急预案，研究部署抢险救灾各项工作。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5.3.4  在灾发地成立现场抢险救灾指挥部，并根据需要设立若干应急工作组。现场指挥部由区地质灾害应急指挥部与地方政府有关部门共同组成。主要任务：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1.根据指挥部的命令，结合现场实际情况，具体实施抢险救灾工作。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2.协调现场领导工作组和各部门之间的各项应急工作，并督促、检查、落实。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3.及时向领导汇报灾情和抢险工作进展、统一向新闻单位提供灾情应急工作等信息，做好宣传、指导等工作。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5.3.5  各应急工作组应当按照应急预案的分工及与现场指挥部的指令有效开展各项应急工作。各应急工作组的组成及任务如下：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1.抢险救灾组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由武警、消防、水利、交通、电力等部门组成。主要任务：组织抢救队伍抢救被压埋人员；组织动员受灾害威胁的居民以及其他人员转移到安全地带，情况危急时，可强制组织避灾疏散；对已经发生或可能引发的次生灾害进行抢险，消除隐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2.调查监测组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由自然资源、气象、水利、交通等部门组成。主要任务：调查、核实灾害发生的时间和位置，已造成人员和经济的损失，查明灾害类型、规模、潜在的威胁和影响范围及成因和诱发因素；组织灾情监测，实时掌握灾情动态，及时分析、预测灾害发展趋势；随时根据灾情变化提出应急防范的对策、措施并报告现场指挥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3.医疗卫生组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由卫体等部门组成。主要任务：组织急救队伍，抢救伤员；检查、监测灾区的饮用水源、食品等，采取有效措施，防止和控制传染病的暴发流行。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4.治安疏导组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由公安、武警等部门组成。主要任务：维护灾区社会治安；迅速疏导交通，对灾区和通往灾区的道路实行交通管制，保护抢险救灾工作顺利进行。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5.物资保障组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由应急、民政、财政、发改等部门及保险公司组成。主要任务：及时设置救济物资供应点，做好救济物资的供应、调配和管理，妥善安排灾民生活；安抚、抚恤伤亡人员和家属，处理其他有关善后工作。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6.综合协调组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由应急、自然资源等部门组成。主要任务：收集、汇总、上报灾情和救援动态信息，承办文秘会务工作，协调、服务、督办工作落实，完成指挥部交办的其他任务。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7.转移安置组</w:t>
      </w:r>
    </w:p>
    <w:p>
      <w:pPr>
        <w:pStyle w:val="3"/>
        <w:keepNext w:val="0"/>
        <w:keepLines w:val="0"/>
        <w:pageBreakBefore w:val="0"/>
        <w:widowControl/>
        <w:wordWrap/>
        <w:overflowPunct/>
        <w:topLinePunct w:val="0"/>
        <w:bidi w:val="0"/>
        <w:spacing w:line="580" w:lineRule="exact"/>
        <w:ind w:right="95" w:firstLine="650"/>
        <w:jc w:val="both"/>
        <w:rPr>
          <w:sz w:val="32"/>
          <w:szCs w:val="32"/>
        </w:rPr>
      </w:pPr>
      <w:r>
        <w:rPr>
          <w:rFonts w:hint="eastAsia"/>
          <w:spacing w:val="5"/>
          <w:sz w:val="32"/>
          <w:szCs w:val="32"/>
          <w:lang w:val="en-US" w:eastAsia="zh-CN"/>
        </w:rPr>
        <w:t>由公安、财政、应急等部门组成。</w:t>
      </w:r>
      <w:r>
        <w:rPr>
          <w:rFonts w:hint="eastAsia" w:ascii="仿宋" w:hAnsi="仿宋" w:eastAsia="仿宋" w:cs="仿宋"/>
          <w:i w:val="0"/>
          <w:caps w:val="0"/>
          <w:color w:val="333333"/>
          <w:spacing w:val="0"/>
          <w:kern w:val="0"/>
          <w:sz w:val="32"/>
          <w:szCs w:val="32"/>
          <w:shd w:val="clear" w:fill="FFFFFF"/>
          <w:lang w:val="en-US" w:eastAsia="zh-CN" w:bidi="ar"/>
        </w:rPr>
        <w:t>主要任务：</w:t>
      </w:r>
      <w:r>
        <w:rPr>
          <w:spacing w:val="5"/>
          <w:sz w:val="32"/>
          <w:szCs w:val="32"/>
        </w:rPr>
        <w:t>负责灾害发生地群众的转移、临时安置；设置</w:t>
      </w:r>
      <w:r>
        <w:rPr>
          <w:spacing w:val="4"/>
          <w:sz w:val="32"/>
          <w:szCs w:val="32"/>
        </w:rPr>
        <w:t>受灾</w:t>
      </w:r>
      <w:r>
        <w:rPr>
          <w:spacing w:val="5"/>
          <w:sz w:val="32"/>
          <w:szCs w:val="32"/>
        </w:rPr>
        <w:t>群众避灾场所；</w:t>
      </w:r>
      <w:r>
        <w:rPr>
          <w:rFonts w:hint="eastAsia"/>
          <w:spacing w:val="5"/>
          <w:sz w:val="32"/>
          <w:szCs w:val="32"/>
          <w:lang w:val="en-US" w:eastAsia="zh-CN"/>
        </w:rPr>
        <w:t>及时</w:t>
      </w:r>
      <w:r>
        <w:rPr>
          <w:spacing w:val="5"/>
          <w:sz w:val="32"/>
          <w:szCs w:val="32"/>
        </w:rPr>
        <w:t>发放救灾物品。</w:t>
      </w:r>
    </w:p>
    <w:p>
      <w:pPr>
        <w:pStyle w:val="3"/>
        <w:keepNext w:val="0"/>
        <w:keepLines w:val="0"/>
        <w:pageBreakBefore w:val="0"/>
        <w:widowControl/>
        <w:wordWrap/>
        <w:overflowPunct/>
        <w:topLinePunct w:val="0"/>
        <w:bidi w:val="0"/>
        <w:spacing w:line="580" w:lineRule="exact"/>
        <w:ind w:left="648"/>
        <w:jc w:val="both"/>
        <w:rPr>
          <w:sz w:val="32"/>
          <w:szCs w:val="32"/>
        </w:rPr>
      </w:pPr>
      <w:r>
        <w:rPr>
          <w:spacing w:val="2"/>
          <w:sz w:val="32"/>
          <w:szCs w:val="32"/>
        </w:rPr>
        <w:t>8</w:t>
      </w:r>
      <w:r>
        <w:rPr>
          <w:rFonts w:hint="eastAsia"/>
          <w:spacing w:val="2"/>
          <w:sz w:val="32"/>
          <w:szCs w:val="32"/>
          <w:lang w:val="en-US" w:eastAsia="zh-CN"/>
        </w:rPr>
        <w:t>.</w:t>
      </w:r>
      <w:r>
        <w:rPr>
          <w:spacing w:val="2"/>
          <w:sz w:val="32"/>
          <w:szCs w:val="32"/>
        </w:rPr>
        <w:t>新闻报道组</w:t>
      </w:r>
    </w:p>
    <w:p>
      <w:pPr>
        <w:pStyle w:val="3"/>
        <w:keepNext w:val="0"/>
        <w:keepLines w:val="0"/>
        <w:pageBreakBefore w:val="0"/>
        <w:widowControl/>
        <w:wordWrap/>
        <w:overflowPunct/>
        <w:topLinePunct w:val="0"/>
        <w:bidi w:val="0"/>
        <w:spacing w:line="580" w:lineRule="exact"/>
        <w:ind w:left="14" w:right="199" w:firstLine="635"/>
        <w:jc w:val="both"/>
        <w:rPr>
          <w:sz w:val="32"/>
          <w:szCs w:val="32"/>
        </w:rPr>
      </w:pPr>
      <w:r>
        <w:rPr>
          <w:rFonts w:hint="eastAsia"/>
          <w:spacing w:val="5"/>
          <w:sz w:val="32"/>
          <w:szCs w:val="32"/>
          <w:lang w:val="en-US" w:eastAsia="zh-CN"/>
        </w:rPr>
        <w:t>由宣传部等部门组成。</w:t>
      </w:r>
      <w:r>
        <w:rPr>
          <w:rFonts w:hint="eastAsia" w:ascii="仿宋" w:hAnsi="仿宋" w:eastAsia="仿宋" w:cs="仿宋"/>
          <w:i w:val="0"/>
          <w:caps w:val="0"/>
          <w:color w:val="333333"/>
          <w:spacing w:val="0"/>
          <w:kern w:val="0"/>
          <w:sz w:val="32"/>
          <w:szCs w:val="32"/>
          <w:shd w:val="clear" w:fill="FFFFFF"/>
          <w:lang w:val="en-US" w:eastAsia="zh-CN" w:bidi="ar"/>
        </w:rPr>
        <w:t>主要任务：</w:t>
      </w:r>
      <w:r>
        <w:rPr>
          <w:spacing w:val="5"/>
          <w:sz w:val="32"/>
          <w:szCs w:val="32"/>
        </w:rPr>
        <w:t>组织协调新闻媒体开展新闻报道，新闻发布，</w:t>
      </w:r>
      <w:r>
        <w:rPr>
          <w:spacing w:val="4"/>
          <w:sz w:val="32"/>
          <w:szCs w:val="32"/>
        </w:rPr>
        <w:t>引导</w:t>
      </w:r>
      <w:r>
        <w:rPr>
          <w:spacing w:val="-3"/>
          <w:sz w:val="32"/>
          <w:szCs w:val="32"/>
        </w:rPr>
        <w:t>舆论。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5.3.6  灾发地乡镇政府应根据现场指挥部或者先期到达的调查组（工作组）的建议，及时划定地质灾害危险区和抢险救灾特别管制区，并予以公告。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危险区和特别管制区的边界应设置明显警示标志，安排巡逻执勤人员；严防危险区内进行爆破、削坡、工程建设以及其它可能加剧灾情的活动；禁止与抢险救灾行动无关的人员、车辆进入危险区和特别管制区。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紧急情况下，在上级调查组（工作组）未到达之前，应及时划定地质灾害危险区和特别管制区，并采取紧急避让和抢险救灾措施。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5.3.7  地质灾害险情灾情已经消除或者得到有效控制，乡镇政府应当根据现场应急指挥部的建议，及时解除灾害应急期，撤销抢险救灾特别管制区和原划定的地质灾害危险区，并予以公告。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5.3.8  因抢险救灾的需要，临时调用单位和个人的物资、设施、设备或者占用其房屋、土地的，灾害应急期结束后应当及时归还；无法归还或者造成损失的，应当给予相应的补偿。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5.3.9  区人民政府根据地质灾害灾情和地质灾害防治需要，统筹规划、安排受灾地区的重建工作。</w:t>
      </w:r>
    </w:p>
    <w:p>
      <w:pPr>
        <w:keepNext w:val="0"/>
        <w:keepLines w:val="0"/>
        <w:pageBreakBefore w:val="0"/>
        <w:widowControl/>
        <w:wordWrap/>
        <w:overflowPunct/>
        <w:topLinePunct w:val="0"/>
        <w:bidi w:val="0"/>
        <w:spacing w:line="580" w:lineRule="exact"/>
        <w:ind w:firstLine="652" w:firstLineChars="200"/>
        <w:rPr>
          <w:rFonts w:hint="eastAsia" w:ascii="黑体" w:hAnsi="黑体" w:eastAsia="黑体" w:cs="黑体"/>
          <w:sz w:val="32"/>
          <w:szCs w:val="32"/>
        </w:rPr>
      </w:pPr>
      <w:r>
        <w:rPr>
          <w:rFonts w:ascii="黑体" w:hAnsi="黑体" w:eastAsia="黑体" w:cs="黑体"/>
          <w:spacing w:val="3"/>
          <w:sz w:val="32"/>
          <w:szCs w:val="32"/>
        </w:rPr>
        <w:t xml:space="preserve">6  </w:t>
      </w:r>
      <w:r>
        <w:rPr>
          <w:rFonts w:hint="eastAsia" w:ascii="黑体" w:hAnsi="黑体" w:eastAsia="黑体" w:cs="黑体"/>
          <w:sz w:val="32"/>
          <w:szCs w:val="32"/>
        </w:rPr>
        <w:t>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6.1本预案将根据地质灾害抢险救灾应急工作实际需要由地质灾害应急指挥部适时进行修订。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6.2本预案解释权归区地质灾害应急指挥部办公室。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i w:val="0"/>
          <w:caps w:val="0"/>
          <w:color w:val="333333"/>
          <w:spacing w:val="0"/>
          <w:kern w:val="0"/>
          <w:sz w:val="32"/>
          <w:szCs w:val="32"/>
          <w:shd w:val="clear" w:fill="FFFFFF"/>
          <w:lang w:val="en-US" w:eastAsia="zh-CN" w:bidi="ar"/>
        </w:rPr>
        <w:t>6.3本预案自印发之日起实施，</w:t>
      </w:r>
      <w:r>
        <w:rPr>
          <w:rFonts w:hint="eastAsia" w:ascii="仿宋" w:hAnsi="仿宋" w:eastAsia="仿宋" w:cs="仿宋"/>
          <w:sz w:val="32"/>
          <w:szCs w:val="32"/>
          <w:lang w:val="en-US" w:eastAsia="zh-CN"/>
        </w:rPr>
        <w:t>2020年5月11日，区政府办公室印发的</w:t>
      </w:r>
      <w:r>
        <w:rPr>
          <w:rFonts w:hint="eastAsia" w:ascii="仿宋" w:hAnsi="仿宋" w:eastAsia="仿宋" w:cs="仿宋"/>
          <w:sz w:val="32"/>
          <w:szCs w:val="32"/>
        </w:rPr>
        <w:t>《</w:t>
      </w:r>
      <w:r>
        <w:rPr>
          <w:rFonts w:hint="eastAsia" w:ascii="仿宋" w:hAnsi="仿宋" w:eastAsia="仿宋" w:cs="仿宋"/>
          <w:sz w:val="32"/>
          <w:szCs w:val="32"/>
          <w:lang w:val="en-US" w:eastAsia="zh-CN"/>
        </w:rPr>
        <w:t>长治市</w:t>
      </w:r>
      <w:r>
        <w:rPr>
          <w:rFonts w:hint="eastAsia" w:ascii="仿宋" w:hAnsi="仿宋" w:eastAsia="仿宋" w:cs="仿宋"/>
          <w:sz w:val="32"/>
          <w:szCs w:val="32"/>
        </w:rPr>
        <w:t>屯留区</w:t>
      </w:r>
      <w:r>
        <w:rPr>
          <w:rFonts w:hint="eastAsia" w:ascii="仿宋" w:hAnsi="仿宋" w:eastAsia="仿宋" w:cs="仿宋"/>
          <w:sz w:val="32"/>
          <w:szCs w:val="32"/>
          <w:lang w:val="en-US" w:eastAsia="zh-CN"/>
        </w:rPr>
        <w:t>突发性</w:t>
      </w:r>
      <w:r>
        <w:rPr>
          <w:rFonts w:hint="eastAsia" w:ascii="仿宋" w:hAnsi="仿宋" w:eastAsia="仿宋" w:cs="仿宋"/>
          <w:sz w:val="32"/>
          <w:szCs w:val="32"/>
        </w:rPr>
        <w:t>地质灾害</w:t>
      </w:r>
      <w:r>
        <w:rPr>
          <w:rFonts w:hint="eastAsia" w:ascii="仿宋" w:hAnsi="仿宋" w:eastAsia="仿宋" w:cs="仿宋"/>
          <w:sz w:val="32"/>
          <w:szCs w:val="32"/>
          <w:lang w:val="en-US" w:eastAsia="zh-CN"/>
        </w:rPr>
        <w:t>应急预案</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屯政办发〔2020〕20号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同时废止。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right="0"/>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p>
    <w:p>
      <w:pPr>
        <w:keepNext w:val="0"/>
        <w:keepLines w:val="0"/>
        <w:pageBreakBefore w:val="0"/>
        <w:widowControl/>
        <w:wordWrap/>
        <w:overflowPunct/>
        <w:topLinePunct w:val="0"/>
        <w:bidi w:val="0"/>
        <w:spacing w:line="580" w:lineRule="exact"/>
        <w:rPr>
          <w:rFonts w:ascii="Arial"/>
          <w:sz w:val="32"/>
          <w:szCs w:val="32"/>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0"/>
        <w:jc w:val="both"/>
        <w:textAlignment w:val="auto"/>
        <w:outlineLvl w:val="9"/>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附件：1.长治市屯留区地质灾害应急指挥图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1609" w:firstLineChars="503"/>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2.地质灾害灾（险）情分级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1609" w:firstLineChars="503"/>
        <w:jc w:val="both"/>
        <w:textAlignment w:val="auto"/>
        <w:outlineLvl w:val="9"/>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3.长治市屯留区地质灾害应急指挥机构及职责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1609" w:firstLineChars="503"/>
        <w:jc w:val="both"/>
        <w:textAlignment w:val="auto"/>
        <w:outlineLvl w:val="9"/>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4.地质灾害气象风险预警级别及预警措施</w:t>
      </w:r>
    </w:p>
    <w:p>
      <w:pPr>
        <w:rPr>
          <w:rFonts w:ascii="宋体" w:hAnsi="宋体" w:eastAsia="宋体" w:cs="宋体"/>
          <w:sz w:val="28"/>
          <w:szCs w:val="28"/>
        </w:rPr>
        <w:sectPr>
          <w:footerReference r:id="rId5" w:type="default"/>
          <w:pgSz w:w="11906" w:h="16839"/>
          <w:pgMar w:top="2098" w:right="1417" w:bottom="1536" w:left="1417" w:header="0" w:footer="0" w:gutter="0"/>
          <w:cols w:space="720" w:num="1"/>
        </w:sectPr>
      </w:pPr>
    </w:p>
    <w:p>
      <w:pPr>
        <w:spacing w:line="184" w:lineRule="auto"/>
        <w:sectPr>
          <w:pgSz w:w="16839" w:h="11906" w:orient="landscape"/>
          <w:pgMar w:top="1417" w:right="964" w:bottom="1417" w:left="403" w:header="0" w:footer="0" w:gutter="0"/>
          <w:cols w:space="720" w:num="1"/>
        </w:sectPr>
      </w:pPr>
      <w:r>
        <w:drawing>
          <wp:inline distT="0" distB="0" distL="114300" distR="114300">
            <wp:extent cx="9996170" cy="5902325"/>
            <wp:effectExtent l="0" t="0" r="5080" b="3175"/>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7"/>
                    <a:stretch>
                      <a:fillRect/>
                    </a:stretch>
                  </pic:blipFill>
                  <pic:spPr>
                    <a:xfrm>
                      <a:off x="0" y="0"/>
                      <a:ext cx="9996170" cy="5902325"/>
                    </a:xfrm>
                    <a:prstGeom prst="rect">
                      <a:avLst/>
                    </a:prstGeom>
                    <a:noFill/>
                    <a:ln>
                      <a:noFill/>
                    </a:ln>
                  </pic:spPr>
                </pic:pic>
              </a:graphicData>
            </a:graphic>
          </wp:inline>
        </w:drawing>
      </w:r>
    </w:p>
    <w:p>
      <w:pPr>
        <w:spacing w:line="304" w:lineRule="auto"/>
        <w:rPr>
          <w:rFonts w:ascii="Arial"/>
          <w:sz w:val="21"/>
        </w:rPr>
      </w:pPr>
    </w:p>
    <w:p>
      <w:pPr>
        <w:spacing w:before="100" w:line="230" w:lineRule="auto"/>
        <w:ind w:left="863"/>
        <w:rPr>
          <w:rFonts w:ascii="Arial"/>
          <w:sz w:val="21"/>
        </w:rPr>
      </w:pPr>
      <w:r>
        <w:drawing>
          <wp:anchor distT="0" distB="0" distL="0" distR="0" simplePos="0" relativeHeight="251660288" behindDoc="0" locked="0" layoutInCell="1" allowOverlap="1">
            <wp:simplePos x="0" y="0"/>
            <wp:positionH relativeFrom="column">
              <wp:posOffset>80645</wp:posOffset>
            </wp:positionH>
            <wp:positionV relativeFrom="paragraph">
              <wp:posOffset>67310</wp:posOffset>
            </wp:positionV>
            <wp:extent cx="7620" cy="178435"/>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8"/>
                    <a:stretch>
                      <a:fillRect/>
                    </a:stretch>
                  </pic:blipFill>
                  <pic:spPr>
                    <a:xfrm>
                      <a:off x="0" y="0"/>
                      <a:ext cx="7672" cy="178434"/>
                    </a:xfrm>
                    <a:prstGeom prst="rect">
                      <a:avLst/>
                    </a:prstGeom>
                  </pic:spPr>
                </pic:pic>
              </a:graphicData>
            </a:graphic>
          </wp:anchor>
        </w:drawing>
      </w:r>
      <w:r>
        <w:rPr>
          <w:rFonts w:ascii="黑体" w:hAnsi="黑体" w:eastAsia="黑体" w:cs="黑体"/>
          <w:spacing w:val="-4"/>
          <w:sz w:val="31"/>
          <w:szCs w:val="31"/>
        </w:rPr>
        <w:t>附件</w:t>
      </w:r>
      <w:r>
        <w:rPr>
          <w:rFonts w:ascii="黑体" w:hAnsi="黑体" w:eastAsia="黑体" w:cs="黑体"/>
          <w:spacing w:val="-69"/>
          <w:sz w:val="31"/>
          <w:szCs w:val="31"/>
        </w:rPr>
        <w:t xml:space="preserve"> </w:t>
      </w:r>
      <w:r>
        <w:rPr>
          <w:rFonts w:ascii="黑体" w:hAnsi="黑体" w:eastAsia="黑体" w:cs="黑体"/>
          <w:spacing w:val="-4"/>
          <w:sz w:val="31"/>
          <w:szCs w:val="31"/>
        </w:rPr>
        <w:t>2</w:t>
      </w:r>
    </w:p>
    <w:p>
      <w:pPr>
        <w:spacing w:before="140" w:line="606" w:lineRule="exact"/>
        <w:ind w:left="4789"/>
        <w:rPr>
          <w:rFonts w:ascii="宋体" w:hAnsi="宋体" w:eastAsia="宋体" w:cs="宋体"/>
          <w:sz w:val="43"/>
          <w:szCs w:val="43"/>
        </w:rPr>
      </w:pPr>
      <w:r>
        <w:rPr>
          <w:b/>
          <w:bCs/>
          <w:sz w:val="44"/>
          <w:szCs w:val="44"/>
        </w:rPr>
        <w:pict>
          <v:shape id="_x0000_s1063" o:spid="_x0000_s1063" o:spt="202" type="#_x0000_t202" style="position:absolute;left:0pt;margin-left:-3.5pt;margin-top:8.75pt;height:16.05pt;width:11.55pt;z-index:251659264;mso-width-relative:page;mso-height-relative:page;" filled="f" stroked="f" coordsize="21600,21600">
            <v:path/>
            <v:fill on="f" focussize="0,0"/>
            <v:stroke on="f"/>
            <v:imagedata o:title=""/>
            <o:lock v:ext="edit" aspectratio="f"/>
            <v:textbox inset="0mm,0mm,0mm,0mm" style="layout-flow:vertical-ideographic;">
              <w:txbxContent>
                <w:p>
                  <w:pPr>
                    <w:pStyle w:val="3"/>
                    <w:spacing w:before="20" w:line="190" w:lineRule="exact"/>
                    <w:rPr>
                      <w:sz w:val="28"/>
                      <w:szCs w:val="28"/>
                    </w:rPr>
                  </w:pPr>
                </w:p>
              </w:txbxContent>
            </v:textbox>
          </v:shape>
        </w:pict>
      </w:r>
      <w:r>
        <w:rPr>
          <w:rFonts w:ascii="宋体" w:hAnsi="宋体" w:eastAsia="宋体" w:cs="宋体"/>
          <w:b/>
          <w:bCs/>
          <w:spacing w:val="3"/>
          <w:position w:val="3"/>
          <w:sz w:val="44"/>
          <w:szCs w:val="44"/>
        </w:rPr>
        <w:t>地质灾害灾（险）情分级</w:t>
      </w:r>
    </w:p>
    <w:p>
      <w:pPr>
        <w:spacing w:before="4"/>
      </w:pPr>
    </w:p>
    <w:tbl>
      <w:tblPr>
        <w:tblStyle w:val="7"/>
        <w:tblW w:w="12886" w:type="dxa"/>
        <w:tblInd w:w="82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44"/>
        <w:gridCol w:w="3269"/>
        <w:gridCol w:w="3269"/>
        <w:gridCol w:w="320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trPr>
        <w:tc>
          <w:tcPr>
            <w:tcW w:w="3144" w:type="dxa"/>
            <w:vAlign w:val="top"/>
          </w:tcPr>
          <w:p>
            <w:pPr>
              <w:spacing w:before="158" w:line="223" w:lineRule="auto"/>
              <w:ind w:left="758"/>
              <w:rPr>
                <w:rFonts w:ascii="黑体" w:hAnsi="黑体" w:eastAsia="黑体" w:cs="黑体"/>
                <w:sz w:val="28"/>
                <w:szCs w:val="28"/>
              </w:rPr>
            </w:pPr>
            <w:r>
              <w:rPr>
                <w:rFonts w:ascii="黑体" w:hAnsi="黑体" w:eastAsia="黑体" w:cs="黑体"/>
                <w:spacing w:val="-5"/>
                <w:sz w:val="28"/>
                <w:szCs w:val="28"/>
              </w:rPr>
              <w:t>小型地质灾害</w:t>
            </w:r>
          </w:p>
        </w:tc>
        <w:tc>
          <w:tcPr>
            <w:tcW w:w="3269" w:type="dxa"/>
            <w:vAlign w:val="top"/>
          </w:tcPr>
          <w:p>
            <w:pPr>
              <w:spacing w:before="158" w:line="223" w:lineRule="auto"/>
              <w:ind w:left="831"/>
              <w:rPr>
                <w:rFonts w:ascii="黑体" w:hAnsi="黑体" w:eastAsia="黑体" w:cs="黑体"/>
                <w:sz w:val="28"/>
                <w:szCs w:val="28"/>
              </w:rPr>
            </w:pPr>
            <w:r>
              <w:rPr>
                <w:rFonts w:ascii="黑体" w:hAnsi="黑体" w:eastAsia="黑体" w:cs="黑体"/>
                <w:spacing w:val="-7"/>
                <w:sz w:val="28"/>
                <w:szCs w:val="28"/>
              </w:rPr>
              <w:t>中型地质灾害</w:t>
            </w:r>
          </w:p>
        </w:tc>
        <w:tc>
          <w:tcPr>
            <w:tcW w:w="3269" w:type="dxa"/>
            <w:vAlign w:val="top"/>
          </w:tcPr>
          <w:p>
            <w:pPr>
              <w:spacing w:before="158" w:line="223" w:lineRule="auto"/>
              <w:ind w:left="808"/>
              <w:rPr>
                <w:rFonts w:ascii="黑体" w:hAnsi="黑体" w:eastAsia="黑体" w:cs="黑体"/>
                <w:sz w:val="28"/>
                <w:szCs w:val="28"/>
              </w:rPr>
            </w:pPr>
            <w:r>
              <w:rPr>
                <w:rFonts w:ascii="黑体" w:hAnsi="黑体" w:eastAsia="黑体" w:cs="黑体"/>
                <w:spacing w:val="-3"/>
                <w:sz w:val="28"/>
                <w:szCs w:val="28"/>
              </w:rPr>
              <w:t>大型地质灾害</w:t>
            </w:r>
          </w:p>
        </w:tc>
        <w:tc>
          <w:tcPr>
            <w:tcW w:w="3204" w:type="dxa"/>
            <w:vAlign w:val="top"/>
          </w:tcPr>
          <w:p>
            <w:pPr>
              <w:spacing w:before="159" w:line="222" w:lineRule="auto"/>
              <w:ind w:left="635"/>
              <w:rPr>
                <w:rFonts w:ascii="黑体" w:hAnsi="黑体" w:eastAsia="黑体" w:cs="黑体"/>
                <w:sz w:val="28"/>
                <w:szCs w:val="28"/>
              </w:rPr>
            </w:pPr>
            <w:r>
              <w:rPr>
                <w:rFonts w:ascii="黑体" w:hAnsi="黑体" w:eastAsia="黑体" w:cs="黑体"/>
                <w:spacing w:val="-3"/>
                <w:sz w:val="28"/>
                <w:szCs w:val="28"/>
              </w:rPr>
              <w:t>特大型地质灾害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0" w:hRule="atLeast"/>
        </w:trPr>
        <w:tc>
          <w:tcPr>
            <w:tcW w:w="3144" w:type="dxa"/>
            <w:vAlign w:val="top"/>
          </w:tcPr>
          <w:p>
            <w:pPr>
              <w:rPr>
                <w:rFonts w:ascii="Arial"/>
                <w:sz w:val="21"/>
              </w:rPr>
            </w:pPr>
          </w:p>
          <w:p>
            <w:pPr>
              <w:pStyle w:val="8"/>
              <w:spacing w:before="78" w:line="441" w:lineRule="auto"/>
              <w:ind w:left="114" w:right="103" w:firstLine="487"/>
              <w:jc w:val="both"/>
            </w:pPr>
            <w:r>
              <w:rPr>
                <w:spacing w:val="3"/>
              </w:rPr>
              <w:t>受灾害威胁，需避险转</w:t>
            </w:r>
            <w:r>
              <w:t xml:space="preserve"> </w:t>
            </w:r>
            <w:r>
              <w:rPr>
                <w:spacing w:val="-1"/>
              </w:rPr>
              <w:t>移人数在</w:t>
            </w:r>
            <w:r>
              <w:rPr>
                <w:spacing w:val="-24"/>
              </w:rPr>
              <w:t xml:space="preserve"> </w:t>
            </w:r>
            <w:r>
              <w:rPr>
                <w:spacing w:val="-1"/>
              </w:rPr>
              <w:t>100</w:t>
            </w:r>
            <w:r>
              <w:rPr>
                <w:spacing w:val="-44"/>
              </w:rPr>
              <w:t xml:space="preserve"> </w:t>
            </w:r>
            <w:r>
              <w:rPr>
                <w:spacing w:val="-1"/>
              </w:rPr>
              <w:t>人以下，或潜</w:t>
            </w:r>
            <w:r>
              <w:t xml:space="preserve"> </w:t>
            </w:r>
            <w:r>
              <w:rPr>
                <w:spacing w:val="-2"/>
              </w:rPr>
              <w:t>在经济损失</w:t>
            </w:r>
            <w:r>
              <w:rPr>
                <w:spacing w:val="-22"/>
              </w:rPr>
              <w:t xml:space="preserve"> </w:t>
            </w:r>
            <w:r>
              <w:rPr>
                <w:spacing w:val="-2"/>
              </w:rPr>
              <w:t>500</w:t>
            </w:r>
            <w:r>
              <w:rPr>
                <w:spacing w:val="-33"/>
              </w:rPr>
              <w:t xml:space="preserve"> </w:t>
            </w:r>
            <w:r>
              <w:rPr>
                <w:spacing w:val="-2"/>
              </w:rPr>
              <w:t>万元以下的</w:t>
            </w:r>
            <w:r>
              <w:t xml:space="preserve"> </w:t>
            </w:r>
            <w:r>
              <w:rPr>
                <w:spacing w:val="3"/>
              </w:rPr>
              <w:t xml:space="preserve">地质灾害险情为小型地质灾 </w:t>
            </w:r>
            <w:r>
              <w:rPr>
                <w:spacing w:val="-4"/>
              </w:rPr>
              <w:t>害险情。</w:t>
            </w:r>
          </w:p>
          <w:p>
            <w:pPr>
              <w:pStyle w:val="8"/>
              <w:spacing w:before="36" w:line="407" w:lineRule="auto"/>
              <w:ind w:left="118" w:right="101" w:firstLine="502"/>
              <w:jc w:val="both"/>
            </w:pPr>
            <w:r>
              <w:rPr>
                <w:spacing w:val="-4"/>
              </w:rPr>
              <w:t>因灾死亡</w:t>
            </w:r>
            <w:r>
              <w:rPr>
                <w:spacing w:val="-23"/>
              </w:rPr>
              <w:t xml:space="preserve"> </w:t>
            </w:r>
            <w:r>
              <w:rPr>
                <w:spacing w:val="-4"/>
              </w:rPr>
              <w:t>3</w:t>
            </w:r>
            <w:r>
              <w:rPr>
                <w:spacing w:val="-42"/>
              </w:rPr>
              <w:t xml:space="preserve"> </w:t>
            </w:r>
            <w:r>
              <w:rPr>
                <w:spacing w:val="-4"/>
              </w:rPr>
              <w:t>人以下，或</w:t>
            </w:r>
            <w:r>
              <w:t xml:space="preserve"> </w:t>
            </w:r>
            <w:r>
              <w:rPr>
                <w:spacing w:val="4"/>
              </w:rPr>
              <w:t>因灾造成直接经济损失</w:t>
            </w:r>
            <w:r>
              <w:rPr>
                <w:spacing w:val="-17"/>
              </w:rPr>
              <w:t xml:space="preserve"> </w:t>
            </w:r>
            <w:r>
              <w:rPr>
                <w:spacing w:val="4"/>
              </w:rPr>
              <w:t>100</w:t>
            </w:r>
            <w:r>
              <w:t xml:space="preserve"> </w:t>
            </w:r>
            <w:r>
              <w:rPr>
                <w:spacing w:val="3"/>
              </w:rPr>
              <w:t>万元以下的地质灾害灾情为</w:t>
            </w:r>
            <w:r>
              <w:t xml:space="preserve"> </w:t>
            </w:r>
            <w:r>
              <w:rPr>
                <w:spacing w:val="-3"/>
              </w:rPr>
              <w:t>小型地质灾害灾情。</w:t>
            </w:r>
          </w:p>
        </w:tc>
        <w:tc>
          <w:tcPr>
            <w:tcW w:w="3269" w:type="dxa"/>
            <w:vAlign w:val="top"/>
          </w:tcPr>
          <w:p>
            <w:pPr>
              <w:pStyle w:val="8"/>
              <w:spacing w:before="286" w:line="394" w:lineRule="auto"/>
              <w:ind w:left="116" w:right="101" w:firstLine="483"/>
              <w:jc w:val="both"/>
            </w:pPr>
            <w:r>
              <w:rPr>
                <w:spacing w:val="-8"/>
              </w:rPr>
              <w:t>受灾害威胁，需避险转移</w:t>
            </w:r>
            <w:r>
              <w:rPr>
                <w:spacing w:val="9"/>
              </w:rPr>
              <w:t xml:space="preserve"> </w:t>
            </w:r>
            <w:r>
              <w:rPr>
                <w:spacing w:val="-4"/>
              </w:rPr>
              <w:t>人数在</w:t>
            </w:r>
            <w:r>
              <w:rPr>
                <w:spacing w:val="-38"/>
              </w:rPr>
              <w:t xml:space="preserve"> </w:t>
            </w:r>
            <w:r>
              <w:rPr>
                <w:spacing w:val="-4"/>
              </w:rPr>
              <w:t>100</w:t>
            </w:r>
            <w:r>
              <w:rPr>
                <w:spacing w:val="-48"/>
              </w:rPr>
              <w:t xml:space="preserve"> </w:t>
            </w:r>
            <w:r>
              <w:rPr>
                <w:spacing w:val="-4"/>
              </w:rPr>
              <w:t>人以上、500</w:t>
            </w:r>
            <w:r>
              <w:rPr>
                <w:spacing w:val="-49"/>
              </w:rPr>
              <w:t xml:space="preserve"> </w:t>
            </w:r>
            <w:r>
              <w:rPr>
                <w:spacing w:val="-4"/>
              </w:rPr>
              <w:t>人以</w:t>
            </w:r>
            <w:r>
              <w:t xml:space="preserve"> </w:t>
            </w:r>
            <w:r>
              <w:rPr>
                <w:spacing w:val="-9"/>
              </w:rPr>
              <w:t>下，或潜在经济损失</w:t>
            </w:r>
            <w:r>
              <w:rPr>
                <w:spacing w:val="-32"/>
              </w:rPr>
              <w:t xml:space="preserve"> </w:t>
            </w:r>
            <w:r>
              <w:rPr>
                <w:spacing w:val="-9"/>
              </w:rPr>
              <w:t>500</w:t>
            </w:r>
            <w:r>
              <w:rPr>
                <w:spacing w:val="-40"/>
              </w:rPr>
              <w:t xml:space="preserve"> </w:t>
            </w:r>
            <w:r>
              <w:rPr>
                <w:spacing w:val="-9"/>
              </w:rPr>
              <w:t>万元</w:t>
            </w:r>
            <w:r>
              <w:t xml:space="preserve"> </w:t>
            </w:r>
            <w:r>
              <w:rPr>
                <w:spacing w:val="-11"/>
              </w:rPr>
              <w:t>以上、5000</w:t>
            </w:r>
            <w:r>
              <w:rPr>
                <w:spacing w:val="-33"/>
              </w:rPr>
              <w:t xml:space="preserve"> </w:t>
            </w:r>
            <w:r>
              <w:rPr>
                <w:spacing w:val="-11"/>
              </w:rPr>
              <w:t>万元以下的地质灾</w:t>
            </w:r>
            <w:r>
              <w:t xml:space="preserve"> </w:t>
            </w:r>
            <w:r>
              <w:rPr>
                <w:spacing w:val="-7"/>
              </w:rPr>
              <w:t>害险情为中型地质灾害险情。</w:t>
            </w:r>
          </w:p>
          <w:p>
            <w:pPr>
              <w:pStyle w:val="8"/>
              <w:spacing w:before="35" w:line="378" w:lineRule="auto"/>
              <w:ind w:left="112" w:right="101" w:firstLine="506"/>
              <w:jc w:val="both"/>
            </w:pPr>
            <w:r>
              <w:rPr>
                <w:spacing w:val="-5"/>
              </w:rPr>
              <w:t>因灾死亡 3</w:t>
            </w:r>
            <w:r>
              <w:rPr>
                <w:spacing w:val="-18"/>
              </w:rPr>
              <w:t xml:space="preserve"> </w:t>
            </w:r>
            <w:r>
              <w:rPr>
                <w:spacing w:val="-5"/>
              </w:rPr>
              <w:t>人以上</w:t>
            </w:r>
            <w:r>
              <w:rPr>
                <w:spacing w:val="-71"/>
              </w:rPr>
              <w:t xml:space="preserve"> </w:t>
            </w:r>
            <w:r>
              <w:rPr>
                <w:spacing w:val="-5"/>
              </w:rPr>
              <w:t>、</w:t>
            </w:r>
            <w:r>
              <w:rPr>
                <w:spacing w:val="-68"/>
              </w:rPr>
              <w:t xml:space="preserve"> </w:t>
            </w:r>
            <w:r>
              <w:rPr>
                <w:spacing w:val="-5"/>
              </w:rPr>
              <w:t>10</w:t>
            </w:r>
            <w:r>
              <w:t xml:space="preserve"> </w:t>
            </w:r>
            <w:r>
              <w:rPr>
                <w:spacing w:val="-6"/>
              </w:rPr>
              <w:t>人以下，或因灾造成直接经济</w:t>
            </w:r>
            <w:r>
              <w:rPr>
                <w:spacing w:val="7"/>
              </w:rPr>
              <w:t xml:space="preserve"> </w:t>
            </w:r>
            <w:r>
              <w:rPr>
                <w:spacing w:val="-6"/>
              </w:rPr>
              <w:t>损失</w:t>
            </w:r>
            <w:r>
              <w:rPr>
                <w:spacing w:val="-26"/>
              </w:rPr>
              <w:t xml:space="preserve"> </w:t>
            </w:r>
            <w:r>
              <w:rPr>
                <w:spacing w:val="-6"/>
              </w:rPr>
              <w:t>100</w:t>
            </w:r>
            <w:r>
              <w:rPr>
                <w:spacing w:val="-38"/>
              </w:rPr>
              <w:t xml:space="preserve"> </w:t>
            </w:r>
            <w:r>
              <w:rPr>
                <w:spacing w:val="-6"/>
              </w:rPr>
              <w:t>万元以上、500</w:t>
            </w:r>
            <w:r>
              <w:rPr>
                <w:spacing w:val="-37"/>
              </w:rPr>
              <w:t xml:space="preserve"> </w:t>
            </w:r>
            <w:r>
              <w:rPr>
                <w:spacing w:val="-6"/>
              </w:rPr>
              <w:t>万元</w:t>
            </w:r>
            <w:r>
              <w:t xml:space="preserve"> </w:t>
            </w:r>
            <w:r>
              <w:rPr>
                <w:spacing w:val="13"/>
              </w:rPr>
              <w:t>以下的地质灾害灾情为中型</w:t>
            </w:r>
            <w:r>
              <w:rPr>
                <w:spacing w:val="10"/>
              </w:rPr>
              <w:t xml:space="preserve"> </w:t>
            </w:r>
            <w:r>
              <w:rPr>
                <w:spacing w:val="-3"/>
              </w:rPr>
              <w:t>地质灾害灾情。</w:t>
            </w:r>
          </w:p>
        </w:tc>
        <w:tc>
          <w:tcPr>
            <w:tcW w:w="3269" w:type="dxa"/>
            <w:vAlign w:val="top"/>
          </w:tcPr>
          <w:p>
            <w:pPr>
              <w:pStyle w:val="8"/>
              <w:spacing w:before="286" w:line="394" w:lineRule="auto"/>
              <w:ind w:left="116" w:right="101" w:firstLine="486"/>
              <w:jc w:val="both"/>
            </w:pPr>
            <w:r>
              <w:rPr>
                <w:spacing w:val="-8"/>
              </w:rPr>
              <w:t>受灾害威胁，需避险转移</w:t>
            </w:r>
            <w:r>
              <w:rPr>
                <w:spacing w:val="7"/>
              </w:rPr>
              <w:t xml:space="preserve"> </w:t>
            </w:r>
            <w:r>
              <w:rPr>
                <w:spacing w:val="-11"/>
              </w:rPr>
              <w:t>人数在</w:t>
            </w:r>
            <w:r>
              <w:rPr>
                <w:spacing w:val="-37"/>
              </w:rPr>
              <w:t xml:space="preserve"> </w:t>
            </w:r>
            <w:r>
              <w:rPr>
                <w:spacing w:val="-11"/>
              </w:rPr>
              <w:t>500</w:t>
            </w:r>
            <w:r>
              <w:rPr>
                <w:spacing w:val="-51"/>
              </w:rPr>
              <w:t xml:space="preserve"> </w:t>
            </w:r>
            <w:r>
              <w:rPr>
                <w:spacing w:val="-11"/>
              </w:rPr>
              <w:t>人以上、1000</w:t>
            </w:r>
            <w:r>
              <w:rPr>
                <w:spacing w:val="-51"/>
              </w:rPr>
              <w:t xml:space="preserve"> </w:t>
            </w:r>
            <w:r>
              <w:rPr>
                <w:spacing w:val="-11"/>
              </w:rPr>
              <w:t>人以</w:t>
            </w:r>
            <w:r>
              <w:t xml:space="preserve"> </w:t>
            </w:r>
            <w:r>
              <w:rPr>
                <w:spacing w:val="-1"/>
              </w:rPr>
              <w:t>下，或潜在经济损失</w:t>
            </w:r>
            <w:r>
              <w:rPr>
                <w:spacing w:val="-31"/>
              </w:rPr>
              <w:t xml:space="preserve"> </w:t>
            </w:r>
            <w:r>
              <w:rPr>
                <w:spacing w:val="-1"/>
              </w:rPr>
              <w:t>5000</w:t>
            </w:r>
            <w:r>
              <w:rPr>
                <w:spacing w:val="-30"/>
              </w:rPr>
              <w:t xml:space="preserve"> </w:t>
            </w:r>
            <w:r>
              <w:rPr>
                <w:spacing w:val="-1"/>
              </w:rPr>
              <w:t>万</w:t>
            </w:r>
            <w:r>
              <w:t xml:space="preserve"> </w:t>
            </w:r>
            <w:r>
              <w:rPr>
                <w:spacing w:val="-3"/>
              </w:rPr>
              <w:t>元以上、1</w:t>
            </w:r>
            <w:r>
              <w:rPr>
                <w:spacing w:val="-36"/>
              </w:rPr>
              <w:t xml:space="preserve"> </w:t>
            </w:r>
            <w:r>
              <w:rPr>
                <w:spacing w:val="-3"/>
              </w:rPr>
              <w:t>亿元以下的地质灾</w:t>
            </w:r>
            <w:r>
              <w:t xml:space="preserve"> </w:t>
            </w:r>
            <w:r>
              <w:rPr>
                <w:spacing w:val="-7"/>
              </w:rPr>
              <w:t>害险情为大型地质灾害险情。</w:t>
            </w:r>
          </w:p>
          <w:p>
            <w:pPr>
              <w:pStyle w:val="8"/>
              <w:spacing w:before="35" w:line="378" w:lineRule="auto"/>
              <w:ind w:left="112" w:right="101" w:firstLine="508"/>
              <w:jc w:val="both"/>
            </w:pPr>
            <w:r>
              <w:rPr>
                <w:spacing w:val="-2"/>
              </w:rPr>
              <w:t>因灾死亡</w:t>
            </w:r>
            <w:r>
              <w:rPr>
                <w:spacing w:val="-31"/>
              </w:rPr>
              <w:t xml:space="preserve"> </w:t>
            </w:r>
            <w:r>
              <w:rPr>
                <w:spacing w:val="-2"/>
              </w:rPr>
              <w:t>10</w:t>
            </w:r>
            <w:r>
              <w:rPr>
                <w:spacing w:val="-44"/>
              </w:rPr>
              <w:t xml:space="preserve"> </w:t>
            </w:r>
            <w:r>
              <w:rPr>
                <w:spacing w:val="-2"/>
              </w:rPr>
              <w:t>人以上、30</w:t>
            </w:r>
            <w:r>
              <w:t xml:space="preserve"> </w:t>
            </w:r>
            <w:r>
              <w:rPr>
                <w:spacing w:val="-6"/>
              </w:rPr>
              <w:t>人以下，或因灾造成直接经济</w:t>
            </w:r>
            <w:r>
              <w:rPr>
                <w:spacing w:val="7"/>
              </w:rPr>
              <w:t xml:space="preserve"> </w:t>
            </w:r>
            <w:r>
              <w:rPr>
                <w:spacing w:val="-12"/>
              </w:rPr>
              <w:t>损失</w:t>
            </w:r>
            <w:r>
              <w:rPr>
                <w:spacing w:val="-39"/>
              </w:rPr>
              <w:t xml:space="preserve"> </w:t>
            </w:r>
            <w:r>
              <w:rPr>
                <w:spacing w:val="-12"/>
              </w:rPr>
              <w:t>500</w:t>
            </w:r>
            <w:r>
              <w:rPr>
                <w:spacing w:val="-40"/>
              </w:rPr>
              <w:t xml:space="preserve"> </w:t>
            </w:r>
            <w:r>
              <w:rPr>
                <w:spacing w:val="-12"/>
              </w:rPr>
              <w:t>万元以上、1000</w:t>
            </w:r>
            <w:r>
              <w:rPr>
                <w:spacing w:val="-40"/>
              </w:rPr>
              <w:t xml:space="preserve"> </w:t>
            </w:r>
            <w:r>
              <w:rPr>
                <w:spacing w:val="-12"/>
              </w:rPr>
              <w:t>万元</w:t>
            </w:r>
            <w:r>
              <w:t xml:space="preserve"> </w:t>
            </w:r>
            <w:r>
              <w:rPr>
                <w:spacing w:val="13"/>
              </w:rPr>
              <w:t>以下的地质灾害灾情为大型</w:t>
            </w:r>
            <w:r>
              <w:rPr>
                <w:spacing w:val="10"/>
              </w:rPr>
              <w:t xml:space="preserve"> </w:t>
            </w:r>
            <w:r>
              <w:rPr>
                <w:spacing w:val="-3"/>
              </w:rPr>
              <w:t>地质灾害灾情。</w:t>
            </w:r>
          </w:p>
        </w:tc>
        <w:tc>
          <w:tcPr>
            <w:tcW w:w="3204" w:type="dxa"/>
            <w:vAlign w:val="top"/>
          </w:tcPr>
          <w:p>
            <w:pPr>
              <w:spacing w:line="461" w:lineRule="auto"/>
              <w:rPr>
                <w:rFonts w:ascii="Arial"/>
                <w:sz w:val="21"/>
              </w:rPr>
            </w:pPr>
          </w:p>
          <w:p>
            <w:pPr>
              <w:pStyle w:val="8"/>
              <w:spacing w:before="78" w:line="395" w:lineRule="auto"/>
              <w:ind w:left="117" w:right="104" w:firstLine="484"/>
              <w:jc w:val="both"/>
            </w:pPr>
            <w:r>
              <w:rPr>
                <w:spacing w:val="-14"/>
              </w:rPr>
              <w:t>受灾害威胁，需避险转移</w:t>
            </w:r>
            <w:r>
              <w:rPr>
                <w:spacing w:val="6"/>
              </w:rPr>
              <w:t xml:space="preserve"> </w:t>
            </w:r>
            <w:r>
              <w:rPr>
                <w:spacing w:val="-4"/>
              </w:rPr>
              <w:t>人数在</w:t>
            </w:r>
            <w:r>
              <w:rPr>
                <w:spacing w:val="-38"/>
              </w:rPr>
              <w:t xml:space="preserve"> </w:t>
            </w:r>
            <w:r>
              <w:rPr>
                <w:spacing w:val="-4"/>
              </w:rPr>
              <w:t>1000</w:t>
            </w:r>
            <w:r>
              <w:rPr>
                <w:spacing w:val="-49"/>
              </w:rPr>
              <w:t xml:space="preserve"> </w:t>
            </w:r>
            <w:r>
              <w:rPr>
                <w:spacing w:val="-4"/>
              </w:rPr>
              <w:t>人以上或潜在可</w:t>
            </w:r>
            <w:r>
              <w:t xml:space="preserve"> </w:t>
            </w:r>
            <w:r>
              <w:rPr>
                <w:spacing w:val="3"/>
              </w:rPr>
              <w:t>能造成的经济损失</w:t>
            </w:r>
            <w:r>
              <w:rPr>
                <w:spacing w:val="-28"/>
              </w:rPr>
              <w:t xml:space="preserve"> </w:t>
            </w:r>
            <w:r>
              <w:rPr>
                <w:spacing w:val="3"/>
              </w:rPr>
              <w:t>1</w:t>
            </w:r>
            <w:r>
              <w:rPr>
                <w:spacing w:val="-32"/>
              </w:rPr>
              <w:t xml:space="preserve"> </w:t>
            </w:r>
            <w:r>
              <w:rPr>
                <w:spacing w:val="3"/>
              </w:rPr>
              <w:t>亿元以</w:t>
            </w:r>
            <w:r>
              <w:t xml:space="preserve"> </w:t>
            </w:r>
            <w:r>
              <w:rPr>
                <w:spacing w:val="8"/>
              </w:rPr>
              <w:t>上的地质灾害险情为特大地</w:t>
            </w:r>
            <w:r>
              <w:t xml:space="preserve"> </w:t>
            </w:r>
            <w:r>
              <w:rPr>
                <w:spacing w:val="-3"/>
              </w:rPr>
              <w:t>质灾害险情。</w:t>
            </w:r>
          </w:p>
          <w:p>
            <w:pPr>
              <w:pStyle w:val="8"/>
              <w:spacing w:before="34" w:line="393" w:lineRule="auto"/>
              <w:ind w:left="124" w:right="104" w:firstLine="495"/>
              <w:jc w:val="both"/>
            </w:pPr>
            <w:r>
              <w:rPr>
                <w:spacing w:val="-8"/>
              </w:rPr>
              <w:t>因灾死亡</w:t>
            </w:r>
            <w:r>
              <w:rPr>
                <w:spacing w:val="-28"/>
              </w:rPr>
              <w:t xml:space="preserve"> </w:t>
            </w:r>
            <w:r>
              <w:rPr>
                <w:spacing w:val="-8"/>
              </w:rPr>
              <w:t>30</w:t>
            </w:r>
            <w:r>
              <w:rPr>
                <w:spacing w:val="-51"/>
              </w:rPr>
              <w:t xml:space="preserve"> </w:t>
            </w:r>
            <w:r>
              <w:rPr>
                <w:spacing w:val="-8"/>
              </w:rPr>
              <w:t>人以上或因</w:t>
            </w:r>
            <w:r>
              <w:t xml:space="preserve"> </w:t>
            </w:r>
            <w:r>
              <w:rPr>
                <w:spacing w:val="-6"/>
              </w:rPr>
              <w:t>灾造成直接经济损失</w:t>
            </w:r>
            <w:r>
              <w:rPr>
                <w:spacing w:val="-30"/>
              </w:rPr>
              <w:t xml:space="preserve"> </w:t>
            </w:r>
            <w:r>
              <w:rPr>
                <w:spacing w:val="-6"/>
              </w:rPr>
              <w:t>1000</w:t>
            </w:r>
            <w:r>
              <w:rPr>
                <w:spacing w:val="-37"/>
              </w:rPr>
              <w:t xml:space="preserve"> </w:t>
            </w:r>
            <w:r>
              <w:rPr>
                <w:spacing w:val="-6"/>
              </w:rPr>
              <w:t>万</w:t>
            </w:r>
            <w:r>
              <w:t xml:space="preserve"> </w:t>
            </w:r>
            <w:r>
              <w:rPr>
                <w:spacing w:val="7"/>
              </w:rPr>
              <w:t>元以上的地质灾害灾情为特</w:t>
            </w:r>
            <w:r>
              <w:rPr>
                <w:spacing w:val="5"/>
              </w:rPr>
              <w:t xml:space="preserve"> </w:t>
            </w:r>
            <w:r>
              <w:rPr>
                <w:spacing w:val="-4"/>
              </w:rPr>
              <w:t>大型地质灾害灾情。</w:t>
            </w:r>
          </w:p>
        </w:tc>
      </w:tr>
    </w:tbl>
    <w:p>
      <w:pPr>
        <w:pStyle w:val="3"/>
        <w:spacing w:before="176" w:line="217" w:lineRule="auto"/>
        <w:rPr>
          <w:sz w:val="24"/>
          <w:szCs w:val="24"/>
        </w:rPr>
        <w:sectPr>
          <w:pgSz w:w="16839" w:h="11906"/>
          <w:pgMar w:top="1012" w:right="1973" w:bottom="400" w:left="1150" w:header="0" w:footer="0" w:gutter="0"/>
          <w:cols w:space="720" w:num="1"/>
        </w:sectPr>
      </w:pPr>
    </w:p>
    <w:p>
      <w:pPr>
        <w:spacing w:line="303" w:lineRule="auto"/>
        <w:rPr>
          <w:rFonts w:ascii="Arial"/>
          <w:sz w:val="21"/>
        </w:rPr>
      </w:pPr>
    </w:p>
    <w:p>
      <w:pPr>
        <w:spacing w:line="304" w:lineRule="auto"/>
        <w:rPr>
          <w:rFonts w:ascii="Arial"/>
          <w:sz w:val="21"/>
        </w:rPr>
      </w:pPr>
    </w:p>
    <w:p>
      <w:pPr>
        <w:spacing w:before="100" w:line="230" w:lineRule="auto"/>
        <w:ind w:left="940"/>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66"/>
          <w:sz w:val="31"/>
          <w:szCs w:val="31"/>
        </w:rPr>
        <w:t xml:space="preserve"> </w:t>
      </w:r>
      <w:r>
        <w:rPr>
          <w:rFonts w:ascii="黑体" w:hAnsi="黑体" w:eastAsia="黑体" w:cs="黑体"/>
          <w:spacing w:val="-4"/>
          <w:sz w:val="31"/>
          <w:szCs w:val="31"/>
        </w:rPr>
        <w:t>3</w:t>
      </w:r>
    </w:p>
    <w:p>
      <w:pPr>
        <w:spacing w:line="250" w:lineRule="auto"/>
        <w:rPr>
          <w:rFonts w:ascii="Arial"/>
          <w:sz w:val="21"/>
        </w:rPr>
      </w:pPr>
    </w:p>
    <w:p>
      <w:pPr>
        <w:spacing w:before="140" w:line="602" w:lineRule="exact"/>
        <w:ind w:left="3771"/>
        <w:rPr>
          <w:rFonts w:ascii="宋体" w:hAnsi="宋体" w:eastAsia="宋体" w:cs="宋体"/>
          <w:sz w:val="43"/>
          <w:szCs w:val="43"/>
        </w:rPr>
      </w:pPr>
      <w:r>
        <w:drawing>
          <wp:anchor distT="0" distB="0" distL="0" distR="0" simplePos="0" relativeHeight="251662336" behindDoc="0" locked="0" layoutInCell="1" allowOverlap="1">
            <wp:simplePos x="0" y="0"/>
            <wp:positionH relativeFrom="column">
              <wp:posOffset>80645</wp:posOffset>
            </wp:positionH>
            <wp:positionV relativeFrom="paragraph">
              <wp:posOffset>4318000</wp:posOffset>
            </wp:positionV>
            <wp:extent cx="7620" cy="178435"/>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9"/>
                    <a:stretch>
                      <a:fillRect/>
                    </a:stretch>
                  </pic:blipFill>
                  <pic:spPr>
                    <a:xfrm>
                      <a:off x="0" y="0"/>
                      <a:ext cx="7672" cy="178434"/>
                    </a:xfrm>
                    <a:prstGeom prst="rect">
                      <a:avLst/>
                    </a:prstGeom>
                  </pic:spPr>
                </pic:pic>
              </a:graphicData>
            </a:graphic>
          </wp:anchor>
        </w:drawing>
      </w:r>
      <w:r>
        <w:pict>
          <v:shape id="_x0000_s1064" o:spid="_x0000_s1064" o:spt="202" type="#_x0000_t202" style="position:absolute;left:0pt;margin-left:-3.5pt;margin-top:380.3pt;height:16.05pt;width:11.55pt;z-index:251661312;mso-width-relative:page;mso-height-relative:page;" filled="f" stroked="f" coordsize="21600,21600">
            <v:path/>
            <v:fill on="f" focussize="0,0"/>
            <v:stroke on="f"/>
            <v:imagedata o:title=""/>
            <o:lock v:ext="edit" aspectratio="f"/>
            <v:textbox inset="0mm,0mm,0mm,0mm" style="layout-flow:vertical-ideographic;">
              <w:txbxContent>
                <w:p>
                  <w:pPr>
                    <w:pStyle w:val="3"/>
                    <w:spacing w:before="20" w:line="190" w:lineRule="exact"/>
                    <w:rPr>
                      <w:sz w:val="28"/>
                      <w:szCs w:val="28"/>
                    </w:rPr>
                  </w:pPr>
                </w:p>
              </w:txbxContent>
            </v:textbox>
          </v:shape>
        </w:pict>
      </w:r>
      <w:r>
        <w:rPr>
          <w:rFonts w:ascii="宋体" w:hAnsi="宋体" w:eastAsia="宋体" w:cs="宋体"/>
          <w:b/>
          <w:bCs/>
          <w:spacing w:val="3"/>
          <w:position w:val="3"/>
          <w:sz w:val="43"/>
          <w:szCs w:val="43"/>
        </w:rPr>
        <w:t>长治</w:t>
      </w:r>
      <w:r>
        <w:rPr>
          <w:rFonts w:hint="eastAsia" w:ascii="宋体" w:hAnsi="宋体" w:eastAsia="宋体" w:cs="宋体"/>
          <w:b/>
          <w:bCs/>
          <w:spacing w:val="3"/>
          <w:position w:val="3"/>
          <w:sz w:val="43"/>
          <w:szCs w:val="43"/>
          <w:lang w:val="en-US" w:eastAsia="zh-CN"/>
        </w:rPr>
        <w:t>市屯留</w:t>
      </w:r>
      <w:r>
        <w:rPr>
          <w:rFonts w:hint="eastAsia" w:ascii="宋体" w:hAnsi="宋体" w:eastAsia="宋体" w:cs="宋体"/>
          <w:b/>
          <w:bCs/>
          <w:spacing w:val="3"/>
          <w:position w:val="3"/>
          <w:sz w:val="43"/>
          <w:szCs w:val="43"/>
          <w:lang w:eastAsia="zh-CN"/>
        </w:rPr>
        <w:t>区</w:t>
      </w:r>
      <w:r>
        <w:rPr>
          <w:rFonts w:ascii="宋体" w:hAnsi="宋体" w:eastAsia="宋体" w:cs="宋体"/>
          <w:b/>
          <w:bCs/>
          <w:spacing w:val="3"/>
          <w:position w:val="3"/>
          <w:sz w:val="43"/>
          <w:szCs w:val="43"/>
        </w:rPr>
        <w:t>地质灾害应急指挥机构及职责</w:t>
      </w:r>
    </w:p>
    <w:p>
      <w:pPr>
        <w:spacing w:before="8"/>
      </w:pPr>
    </w:p>
    <w:tbl>
      <w:tblPr>
        <w:tblStyle w:val="7"/>
        <w:tblW w:w="13219" w:type="dxa"/>
        <w:tblInd w:w="8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2"/>
        <w:gridCol w:w="2355"/>
        <w:gridCol w:w="102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2987" w:type="dxa"/>
            <w:gridSpan w:val="2"/>
            <w:vAlign w:val="top"/>
          </w:tcPr>
          <w:p>
            <w:pPr>
              <w:spacing w:before="129" w:line="224" w:lineRule="auto"/>
              <w:ind w:left="925"/>
              <w:rPr>
                <w:rFonts w:ascii="黑体" w:hAnsi="黑体" w:eastAsia="黑体" w:cs="黑体"/>
                <w:sz w:val="28"/>
                <w:szCs w:val="28"/>
              </w:rPr>
            </w:pPr>
            <w:r>
              <w:rPr>
                <w:rFonts w:ascii="黑体" w:hAnsi="黑体" w:eastAsia="黑体" w:cs="黑体"/>
                <w:spacing w:val="-4"/>
                <w:sz w:val="28"/>
                <w:szCs w:val="28"/>
              </w:rPr>
              <w:t>指挥机构</w:t>
            </w:r>
          </w:p>
        </w:tc>
        <w:tc>
          <w:tcPr>
            <w:tcW w:w="10232" w:type="dxa"/>
            <w:vMerge w:val="restart"/>
            <w:tcBorders>
              <w:bottom w:val="nil"/>
            </w:tcBorders>
            <w:vAlign w:val="top"/>
          </w:tcPr>
          <w:p>
            <w:pPr>
              <w:spacing w:line="298" w:lineRule="auto"/>
              <w:rPr>
                <w:rFonts w:ascii="Arial"/>
                <w:sz w:val="21"/>
              </w:rPr>
            </w:pPr>
          </w:p>
          <w:p>
            <w:pPr>
              <w:spacing w:before="91" w:line="222" w:lineRule="auto"/>
              <w:ind w:left="4638"/>
              <w:rPr>
                <w:rFonts w:ascii="黑体" w:hAnsi="黑体" w:eastAsia="黑体" w:cs="黑体"/>
                <w:sz w:val="28"/>
                <w:szCs w:val="28"/>
              </w:rPr>
            </w:pPr>
            <w:r>
              <w:rPr>
                <w:rFonts w:ascii="黑体" w:hAnsi="黑体" w:eastAsia="黑体" w:cs="黑体"/>
                <w:spacing w:val="-5"/>
                <w:sz w:val="28"/>
                <w:szCs w:val="28"/>
              </w:rPr>
              <w:t>职</w:t>
            </w:r>
            <w:r>
              <w:rPr>
                <w:rFonts w:ascii="黑体" w:hAnsi="黑体" w:eastAsia="黑体" w:cs="黑体"/>
                <w:spacing w:val="6"/>
                <w:sz w:val="28"/>
                <w:szCs w:val="28"/>
              </w:rPr>
              <w:t xml:space="preserve">  </w:t>
            </w:r>
            <w:r>
              <w:rPr>
                <w:rFonts w:ascii="黑体" w:hAnsi="黑体" w:eastAsia="黑体" w:cs="黑体"/>
                <w:spacing w:val="-5"/>
                <w:sz w:val="28"/>
                <w:szCs w:val="28"/>
              </w:rPr>
              <w:t>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632" w:type="dxa"/>
            <w:tcBorders>
              <w:bottom w:val="single" w:color="auto" w:sz="4" w:space="0"/>
            </w:tcBorders>
            <w:vAlign w:val="top"/>
          </w:tcPr>
          <w:p>
            <w:pPr>
              <w:spacing w:before="127" w:line="222" w:lineRule="auto"/>
              <w:ind w:left="45"/>
              <w:rPr>
                <w:rFonts w:ascii="黑体" w:hAnsi="黑体" w:eastAsia="黑体" w:cs="黑体"/>
                <w:sz w:val="28"/>
                <w:szCs w:val="28"/>
              </w:rPr>
            </w:pPr>
            <w:r>
              <w:rPr>
                <w:rFonts w:ascii="黑体" w:hAnsi="黑体" w:eastAsia="黑体" w:cs="黑体"/>
                <w:spacing w:val="-7"/>
                <w:sz w:val="28"/>
                <w:szCs w:val="28"/>
              </w:rPr>
              <w:t>名称</w:t>
            </w:r>
          </w:p>
        </w:tc>
        <w:tc>
          <w:tcPr>
            <w:tcW w:w="2355" w:type="dxa"/>
            <w:tcBorders>
              <w:bottom w:val="single" w:color="auto" w:sz="4" w:space="0"/>
            </w:tcBorders>
            <w:vAlign w:val="top"/>
          </w:tcPr>
          <w:p>
            <w:pPr>
              <w:spacing w:before="126" w:line="223" w:lineRule="auto"/>
              <w:ind w:left="889"/>
              <w:rPr>
                <w:rFonts w:ascii="黑体" w:hAnsi="黑体" w:eastAsia="黑体" w:cs="黑体"/>
                <w:sz w:val="28"/>
                <w:szCs w:val="28"/>
              </w:rPr>
            </w:pPr>
            <w:r>
              <w:rPr>
                <w:rFonts w:ascii="黑体" w:hAnsi="黑体" w:eastAsia="黑体" w:cs="黑体"/>
                <w:spacing w:val="-5"/>
                <w:sz w:val="28"/>
                <w:szCs w:val="28"/>
              </w:rPr>
              <w:t>组成</w:t>
            </w:r>
          </w:p>
        </w:tc>
        <w:tc>
          <w:tcPr>
            <w:tcW w:w="10232" w:type="dxa"/>
            <w:vMerge w:val="continue"/>
            <w:tcBorders>
              <w:top w:val="nil"/>
              <w:bottom w:val="single" w:color="auto"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0" w:hRule="atLeast"/>
        </w:trPr>
        <w:tc>
          <w:tcPr>
            <w:tcW w:w="632" w:type="dxa"/>
            <w:tcBorders>
              <w:top w:val="single" w:color="auto" w:sz="4" w:space="0"/>
              <w:left w:val="single" w:color="auto" w:sz="4" w:space="0"/>
              <w:bottom w:val="single" w:color="auto" w:sz="4" w:space="0"/>
              <w:right w:val="single" w:color="auto" w:sz="4" w:space="0"/>
            </w:tcBorders>
            <w:textDirection w:val="tbRlV"/>
            <w:vAlign w:val="top"/>
          </w:tcPr>
          <w:p>
            <w:pPr>
              <w:pStyle w:val="8"/>
              <w:spacing w:before="187" w:line="209" w:lineRule="auto"/>
              <w:ind w:left="99"/>
            </w:pPr>
            <w:r>
              <w:rPr>
                <w:spacing w:val="-1"/>
              </w:rPr>
              <w:t>指 挥 长</w:t>
            </w:r>
          </w:p>
        </w:tc>
        <w:tc>
          <w:tcPr>
            <w:tcW w:w="2355" w:type="dxa"/>
            <w:tcBorders>
              <w:top w:val="single" w:color="auto" w:sz="4" w:space="0"/>
              <w:left w:val="single" w:color="auto" w:sz="4" w:space="0"/>
              <w:bottom w:val="single" w:color="auto" w:sz="4" w:space="0"/>
              <w:right w:val="single" w:color="auto" w:sz="4" w:space="0"/>
            </w:tcBorders>
            <w:vAlign w:val="top"/>
          </w:tcPr>
          <w:p>
            <w:pPr>
              <w:spacing w:line="427" w:lineRule="auto"/>
              <w:rPr>
                <w:rFonts w:ascii="Arial"/>
                <w:sz w:val="21"/>
              </w:rPr>
            </w:pPr>
          </w:p>
          <w:p>
            <w:pPr>
              <w:pStyle w:val="8"/>
              <w:spacing w:before="78" w:line="217" w:lineRule="auto"/>
              <w:ind w:left="224"/>
            </w:pPr>
            <w:r>
              <w:rPr>
                <w:rFonts w:hint="eastAsia"/>
                <w:spacing w:val="-4"/>
                <w:lang w:eastAsia="zh-CN"/>
              </w:rPr>
              <w:t>区</w:t>
            </w:r>
            <w:r>
              <w:rPr>
                <w:spacing w:val="-4"/>
              </w:rPr>
              <w:t>政府分管副</w:t>
            </w:r>
            <w:r>
              <w:rPr>
                <w:rFonts w:hint="eastAsia"/>
                <w:spacing w:val="-4"/>
                <w:lang w:eastAsia="zh-CN"/>
              </w:rPr>
              <w:t>区</w:t>
            </w:r>
            <w:r>
              <w:rPr>
                <w:spacing w:val="-4"/>
              </w:rPr>
              <w:t>长</w:t>
            </w:r>
          </w:p>
        </w:tc>
        <w:tc>
          <w:tcPr>
            <w:tcW w:w="10232" w:type="dxa"/>
            <w:vMerge w:val="restart"/>
            <w:tcBorders>
              <w:top w:val="single" w:color="auto" w:sz="4" w:space="0"/>
              <w:left w:val="single" w:color="auto" w:sz="4" w:space="0"/>
              <w:bottom w:val="single" w:color="auto" w:sz="4" w:space="0"/>
              <w:right w:val="single" w:color="auto" w:sz="4" w:space="0"/>
            </w:tcBorders>
            <w:vAlign w:val="top"/>
          </w:tcPr>
          <w:p>
            <w:pPr>
              <w:spacing w:line="280" w:lineRule="auto"/>
              <w:rPr>
                <w:rFonts w:ascii="Arial"/>
                <w:sz w:val="21"/>
              </w:rPr>
            </w:pPr>
          </w:p>
          <w:p>
            <w:pPr>
              <w:spacing w:line="280" w:lineRule="auto"/>
              <w:rPr>
                <w:rFonts w:ascii="Arial"/>
                <w:sz w:val="21"/>
              </w:rPr>
            </w:pPr>
          </w:p>
          <w:p>
            <w:pPr>
              <w:pStyle w:val="8"/>
              <w:spacing w:before="85" w:line="242" w:lineRule="auto"/>
              <w:ind w:left="32" w:right="11" w:firstLine="476"/>
              <w:jc w:val="both"/>
              <w:rPr>
                <w:rFonts w:hint="default"/>
                <w:lang w:val="en-US" w:eastAsia="zh-CN"/>
              </w:rPr>
            </w:pPr>
          </w:p>
          <w:p>
            <w:pPr>
              <w:pStyle w:val="8"/>
              <w:spacing w:before="85" w:line="242" w:lineRule="auto"/>
              <w:ind w:left="32" w:right="11" w:firstLine="476"/>
              <w:jc w:val="both"/>
              <w:rPr>
                <w:rFonts w:hint="default"/>
                <w:lang w:val="en-US" w:eastAsia="zh-CN"/>
              </w:rPr>
            </w:pPr>
          </w:p>
          <w:p>
            <w:pPr>
              <w:pStyle w:val="8"/>
              <w:spacing w:before="85" w:line="242" w:lineRule="auto"/>
              <w:ind w:left="32" w:right="11" w:firstLine="476"/>
              <w:jc w:val="both"/>
              <w:rPr>
                <w:rFonts w:hint="eastAsia"/>
              </w:rPr>
            </w:pPr>
            <w:r>
              <w:rPr>
                <w:rFonts w:hint="default"/>
                <w:lang w:val="en-US" w:eastAsia="zh-CN"/>
              </w:rPr>
              <w:t>指挥部负责领导、指挥和协调地质灾害应急防治与救灾工作；确定应急防治与救灾工作方案；发布地质灾害应急命令；部署和组织有关部门和有关镇（街道办）对受灾地区进行紧急救援；协调处理其他有关地质灾害防治与救灾的重要工作。</w:t>
            </w:r>
          </w:p>
          <w:p>
            <w:pPr>
              <w:pStyle w:val="8"/>
              <w:spacing w:before="85" w:line="242" w:lineRule="auto"/>
              <w:ind w:left="32" w:right="11" w:firstLine="476"/>
              <w:jc w:val="both"/>
              <w:rPr>
                <w:rFonts w:hint="eastAsia"/>
              </w:rPr>
            </w:pPr>
            <w:r>
              <w:rPr>
                <w:rFonts w:hint="default"/>
                <w:lang w:val="en-US" w:eastAsia="zh-CN"/>
              </w:rPr>
              <w:t>指挥部下设办公室于</w:t>
            </w:r>
            <w:r>
              <w:rPr>
                <w:rFonts w:hint="eastAsia"/>
                <w:lang w:val="en-US" w:eastAsia="zh-CN"/>
              </w:rPr>
              <w:t>区应急局</w:t>
            </w:r>
            <w:r>
              <w:rPr>
                <w:rFonts w:hint="default"/>
                <w:lang w:val="en-US" w:eastAsia="zh-CN"/>
              </w:rPr>
              <w:t>，办公室主任由</w:t>
            </w:r>
            <w:r>
              <w:rPr>
                <w:rFonts w:hint="eastAsia"/>
                <w:lang w:val="en-US" w:eastAsia="zh-CN"/>
              </w:rPr>
              <w:t>区应急局</w:t>
            </w:r>
            <w:r>
              <w:rPr>
                <w:rFonts w:hint="default"/>
                <w:lang w:val="en-US" w:eastAsia="zh-CN"/>
              </w:rPr>
              <w:t>局长</w:t>
            </w:r>
            <w:r>
              <w:rPr>
                <w:rFonts w:hint="eastAsia"/>
                <w:lang w:val="en-US" w:eastAsia="zh-CN"/>
              </w:rPr>
              <w:t>和自然资源局局长</w:t>
            </w:r>
            <w:r>
              <w:rPr>
                <w:rFonts w:hint="default"/>
                <w:lang w:val="en-US" w:eastAsia="zh-CN"/>
              </w:rPr>
              <w:t>兼任，各成员单位的主要或分管负责人为成员。负责日常事务，负责传达指挥部命令，并督促落实；收集救灾工作开展情况，及时向指挥部汇报；负责灾情、险情和救灾工作信息发布；办理指挥部交办的任务。</w:t>
            </w:r>
          </w:p>
          <w:p>
            <w:pPr>
              <w:pStyle w:val="8"/>
              <w:spacing w:before="37" w:line="302" w:lineRule="auto"/>
              <w:ind w:left="22" w:firstLine="482"/>
              <w:jc w:val="both"/>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9" w:hRule="atLeast"/>
        </w:trPr>
        <w:tc>
          <w:tcPr>
            <w:tcW w:w="632" w:type="dxa"/>
            <w:vMerge w:val="restart"/>
            <w:tcBorders>
              <w:top w:val="single" w:color="auto" w:sz="4" w:space="0"/>
              <w:left w:val="single" w:color="auto" w:sz="4" w:space="0"/>
              <w:bottom w:val="single" w:color="auto" w:sz="4" w:space="0"/>
              <w:right w:val="single" w:color="auto" w:sz="4" w:space="0"/>
            </w:tcBorders>
            <w:textDirection w:val="tbRlV"/>
            <w:vAlign w:val="top"/>
          </w:tcPr>
          <w:p>
            <w:pPr>
              <w:pStyle w:val="8"/>
              <w:spacing w:before="187" w:line="209" w:lineRule="auto"/>
              <w:ind w:left="1268"/>
            </w:pPr>
            <w:r>
              <w:rPr>
                <w:spacing w:val="-1"/>
              </w:rPr>
              <w:t>副</w:t>
            </w:r>
            <w:r>
              <w:rPr>
                <w:spacing w:val="21"/>
              </w:rPr>
              <w:t xml:space="preserve">  </w:t>
            </w:r>
            <w:r>
              <w:rPr>
                <w:spacing w:val="-1"/>
              </w:rPr>
              <w:t>指</w:t>
            </w:r>
            <w:r>
              <w:rPr>
                <w:spacing w:val="20"/>
              </w:rPr>
              <w:t xml:space="preserve">  </w:t>
            </w:r>
            <w:r>
              <w:rPr>
                <w:spacing w:val="-1"/>
              </w:rPr>
              <w:t>挥</w:t>
            </w:r>
            <w:r>
              <w:rPr>
                <w:spacing w:val="20"/>
              </w:rPr>
              <w:t xml:space="preserve">  </w:t>
            </w:r>
            <w:r>
              <w:rPr>
                <w:spacing w:val="-1"/>
              </w:rPr>
              <w:t>长</w:t>
            </w:r>
          </w:p>
        </w:tc>
        <w:tc>
          <w:tcPr>
            <w:tcW w:w="2355" w:type="dxa"/>
            <w:tcBorders>
              <w:top w:val="single" w:color="auto" w:sz="4" w:space="0"/>
              <w:left w:val="single" w:color="auto" w:sz="4" w:space="0"/>
              <w:bottom w:val="single" w:color="auto" w:sz="4" w:space="0"/>
              <w:right w:val="single" w:color="auto" w:sz="4" w:space="0"/>
            </w:tcBorders>
            <w:vAlign w:val="top"/>
          </w:tcPr>
          <w:p>
            <w:pPr>
              <w:pStyle w:val="8"/>
              <w:spacing w:before="135" w:line="217" w:lineRule="auto"/>
              <w:ind w:left="107" w:firstLine="232" w:firstLineChars="100"/>
              <w:rPr>
                <w:rFonts w:hint="eastAsia"/>
                <w:spacing w:val="-4"/>
                <w:lang w:eastAsia="zh-CN"/>
              </w:rPr>
            </w:pPr>
          </w:p>
          <w:p>
            <w:pPr>
              <w:pStyle w:val="8"/>
              <w:spacing w:before="135" w:line="217" w:lineRule="auto"/>
              <w:ind w:left="107" w:firstLine="232" w:firstLineChars="100"/>
              <w:rPr>
                <w:rFonts w:hint="default" w:eastAsia="仿宋"/>
                <w:lang w:val="en-US" w:eastAsia="zh-CN"/>
              </w:rPr>
            </w:pPr>
            <w:r>
              <w:rPr>
                <w:rFonts w:hint="eastAsia"/>
                <w:spacing w:val="-4"/>
                <w:lang w:eastAsia="zh-CN"/>
              </w:rPr>
              <w:t>区</w:t>
            </w:r>
            <w:r>
              <w:rPr>
                <w:spacing w:val="-4"/>
              </w:rPr>
              <w:t>政府</w:t>
            </w:r>
            <w:r>
              <w:rPr>
                <w:rFonts w:hint="eastAsia"/>
                <w:spacing w:val="-4"/>
                <w:lang w:val="en-US" w:eastAsia="zh-CN"/>
              </w:rPr>
              <w:t>办副主任</w:t>
            </w:r>
          </w:p>
        </w:tc>
        <w:tc>
          <w:tcPr>
            <w:tcW w:w="10232" w:type="dxa"/>
            <w:vMerge w:val="continue"/>
            <w:tcBorders>
              <w:top w:val="single" w:color="auto" w:sz="4" w:space="0"/>
              <w:left w:val="single" w:color="auto" w:sz="4" w:space="0"/>
              <w:bottom w:val="single" w:color="auto" w:sz="4" w:space="0"/>
              <w:right w:val="single" w:color="auto"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8" w:hRule="atLeast"/>
        </w:trPr>
        <w:tc>
          <w:tcPr>
            <w:tcW w:w="632" w:type="dxa"/>
            <w:vMerge w:val="continue"/>
            <w:tcBorders>
              <w:top w:val="single" w:color="auto" w:sz="4" w:space="0"/>
              <w:left w:val="single" w:color="auto" w:sz="4" w:space="0"/>
              <w:bottom w:val="single" w:color="auto" w:sz="4" w:space="0"/>
              <w:right w:val="single" w:color="auto" w:sz="4" w:space="0"/>
            </w:tcBorders>
            <w:textDirection w:val="tbRlV"/>
            <w:vAlign w:val="top"/>
          </w:tcPr>
          <w:p>
            <w:pPr>
              <w:rPr>
                <w:rFonts w:ascii="Arial"/>
                <w:sz w:val="21"/>
              </w:rPr>
            </w:pPr>
          </w:p>
        </w:tc>
        <w:tc>
          <w:tcPr>
            <w:tcW w:w="2355" w:type="dxa"/>
            <w:tcBorders>
              <w:top w:val="single" w:color="auto" w:sz="4" w:space="0"/>
              <w:left w:val="single" w:color="auto" w:sz="4" w:space="0"/>
              <w:bottom w:val="single" w:color="auto" w:sz="4" w:space="0"/>
              <w:right w:val="single" w:color="auto" w:sz="4" w:space="0"/>
            </w:tcBorders>
            <w:vAlign w:val="top"/>
          </w:tcPr>
          <w:p>
            <w:pPr>
              <w:pStyle w:val="8"/>
              <w:spacing w:before="114" w:line="217" w:lineRule="auto"/>
              <w:ind w:left="462"/>
              <w:rPr>
                <w:rFonts w:hint="eastAsia"/>
                <w:spacing w:val="-5"/>
                <w:lang w:eastAsia="zh-CN"/>
              </w:rPr>
            </w:pPr>
          </w:p>
          <w:p>
            <w:pPr>
              <w:pStyle w:val="8"/>
              <w:spacing w:before="114" w:line="217" w:lineRule="auto"/>
              <w:ind w:left="462"/>
            </w:pPr>
            <w:r>
              <w:rPr>
                <w:rFonts w:hint="eastAsia"/>
                <w:spacing w:val="-5"/>
                <w:lang w:eastAsia="zh-CN"/>
              </w:rPr>
              <w:t>区</w:t>
            </w:r>
            <w:r>
              <w:rPr>
                <w:spacing w:val="-5"/>
              </w:rPr>
              <w:t>应急局局长</w:t>
            </w:r>
          </w:p>
        </w:tc>
        <w:tc>
          <w:tcPr>
            <w:tcW w:w="10232" w:type="dxa"/>
            <w:vMerge w:val="continue"/>
            <w:tcBorders>
              <w:top w:val="single" w:color="auto" w:sz="4" w:space="0"/>
              <w:left w:val="single" w:color="auto" w:sz="4" w:space="0"/>
              <w:bottom w:val="single" w:color="auto" w:sz="4" w:space="0"/>
              <w:right w:val="single" w:color="auto"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632" w:type="dxa"/>
            <w:vMerge w:val="continue"/>
            <w:tcBorders>
              <w:top w:val="single" w:color="auto" w:sz="4" w:space="0"/>
              <w:left w:val="single" w:color="auto" w:sz="4" w:space="0"/>
              <w:bottom w:val="single" w:color="auto" w:sz="4" w:space="0"/>
              <w:right w:val="single" w:color="auto" w:sz="4" w:space="0"/>
            </w:tcBorders>
            <w:textDirection w:val="tbRlV"/>
            <w:vAlign w:val="top"/>
          </w:tcPr>
          <w:p>
            <w:pPr>
              <w:rPr>
                <w:rFonts w:ascii="Arial"/>
                <w:sz w:val="21"/>
              </w:rPr>
            </w:pPr>
          </w:p>
        </w:tc>
        <w:tc>
          <w:tcPr>
            <w:tcW w:w="2355" w:type="dxa"/>
            <w:tcBorders>
              <w:top w:val="single" w:color="auto" w:sz="4" w:space="0"/>
              <w:left w:val="single" w:color="auto" w:sz="4" w:space="0"/>
              <w:bottom w:val="single" w:color="auto" w:sz="4" w:space="0"/>
              <w:right w:val="single" w:color="auto" w:sz="4" w:space="0"/>
            </w:tcBorders>
            <w:vAlign w:val="top"/>
          </w:tcPr>
          <w:p>
            <w:pPr>
              <w:pStyle w:val="8"/>
              <w:spacing w:before="114" w:line="224" w:lineRule="auto"/>
              <w:ind w:left="902" w:leftChars="109" w:right="88" w:hanging="673" w:hangingChars="293"/>
              <w:rPr>
                <w:rFonts w:hint="eastAsia"/>
                <w:spacing w:val="-5"/>
                <w:lang w:eastAsia="zh-CN"/>
              </w:rPr>
            </w:pPr>
          </w:p>
          <w:p>
            <w:pPr>
              <w:pStyle w:val="8"/>
              <w:spacing w:before="114" w:line="224" w:lineRule="auto"/>
              <w:ind w:left="902" w:leftChars="109" w:right="88" w:hanging="673" w:hangingChars="293"/>
            </w:pPr>
            <w:r>
              <w:rPr>
                <w:rFonts w:hint="eastAsia"/>
                <w:spacing w:val="-5"/>
                <w:lang w:eastAsia="zh-CN"/>
              </w:rPr>
              <w:t>区</w:t>
            </w:r>
            <w:r>
              <w:rPr>
                <w:spacing w:val="-5"/>
              </w:rPr>
              <w:t>自然资源局</w:t>
            </w:r>
            <w:r>
              <w:rPr>
                <w:spacing w:val="-7"/>
              </w:rPr>
              <w:t>局长</w:t>
            </w:r>
          </w:p>
        </w:tc>
        <w:tc>
          <w:tcPr>
            <w:tcW w:w="10232" w:type="dxa"/>
            <w:vMerge w:val="continue"/>
            <w:tcBorders>
              <w:top w:val="single" w:color="auto" w:sz="4" w:space="0"/>
              <w:left w:val="single" w:color="auto" w:sz="4" w:space="0"/>
              <w:bottom w:val="single" w:color="auto" w:sz="4" w:space="0"/>
              <w:right w:val="single" w:color="auto" w:sz="4" w:space="0"/>
            </w:tcBorders>
            <w:vAlign w:val="top"/>
          </w:tcPr>
          <w:p>
            <w:pPr>
              <w:rPr>
                <w:rFonts w:ascii="Arial"/>
                <w:sz w:val="21"/>
              </w:rPr>
            </w:pPr>
          </w:p>
        </w:tc>
      </w:tr>
    </w:tbl>
    <w:p>
      <w:pPr>
        <w:spacing w:before="46"/>
      </w:pPr>
    </w:p>
    <w:p>
      <w:pPr>
        <w:pStyle w:val="6"/>
      </w:pPr>
    </w:p>
    <w:p>
      <w:pPr>
        <w:pStyle w:val="6"/>
      </w:pPr>
    </w:p>
    <w:p>
      <w:pPr>
        <w:pStyle w:val="6"/>
      </w:pPr>
    </w:p>
    <w:p>
      <w:pPr>
        <w:pStyle w:val="6"/>
      </w:pPr>
    </w:p>
    <w:tbl>
      <w:tblPr>
        <w:tblStyle w:val="7"/>
        <w:tblW w:w="13099" w:type="dxa"/>
        <w:tblInd w:w="84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0"/>
        <w:gridCol w:w="2294"/>
        <w:gridCol w:w="101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2974" w:type="dxa"/>
            <w:gridSpan w:val="2"/>
            <w:vAlign w:val="top"/>
          </w:tcPr>
          <w:p>
            <w:pPr>
              <w:spacing w:before="173" w:line="224" w:lineRule="auto"/>
              <w:ind w:left="939"/>
              <w:rPr>
                <w:rFonts w:ascii="黑体" w:hAnsi="黑体" w:eastAsia="黑体" w:cs="黑体"/>
                <w:sz w:val="28"/>
                <w:szCs w:val="28"/>
              </w:rPr>
            </w:pPr>
            <w:r>
              <w:rPr>
                <w:rFonts w:ascii="黑体" w:hAnsi="黑体" w:eastAsia="黑体" w:cs="黑体"/>
                <w:spacing w:val="-4"/>
                <w:sz w:val="28"/>
                <w:szCs w:val="28"/>
              </w:rPr>
              <w:t>指挥机构</w:t>
            </w:r>
          </w:p>
        </w:tc>
        <w:tc>
          <w:tcPr>
            <w:tcW w:w="10125" w:type="dxa"/>
            <w:vAlign w:val="top"/>
          </w:tcPr>
          <w:p>
            <w:pPr>
              <w:spacing w:before="173" w:line="222" w:lineRule="auto"/>
              <w:ind w:left="4652"/>
              <w:rPr>
                <w:rFonts w:ascii="黑体" w:hAnsi="黑体" w:eastAsia="黑体" w:cs="黑体"/>
                <w:sz w:val="28"/>
                <w:szCs w:val="28"/>
              </w:rPr>
            </w:pPr>
            <w:r>
              <w:rPr>
                <w:rFonts w:ascii="黑体" w:hAnsi="黑体" w:eastAsia="黑体" w:cs="黑体"/>
                <w:spacing w:val="-5"/>
                <w:sz w:val="28"/>
                <w:szCs w:val="28"/>
              </w:rPr>
              <w:t>职</w:t>
            </w:r>
            <w:r>
              <w:rPr>
                <w:rFonts w:ascii="黑体" w:hAnsi="黑体" w:eastAsia="黑体" w:cs="黑体"/>
                <w:spacing w:val="6"/>
                <w:sz w:val="28"/>
                <w:szCs w:val="28"/>
              </w:rPr>
              <w:t xml:space="preserve">  </w:t>
            </w:r>
            <w:r>
              <w:rPr>
                <w:rFonts w:ascii="黑体" w:hAnsi="黑体" w:eastAsia="黑体" w:cs="黑体"/>
                <w:spacing w:val="-5"/>
                <w:sz w:val="28"/>
                <w:szCs w:val="28"/>
              </w:rPr>
              <w:t>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9" w:hRule="atLeast"/>
        </w:trPr>
        <w:tc>
          <w:tcPr>
            <w:tcW w:w="680" w:type="dxa"/>
            <w:vMerge w:val="restart"/>
            <w:tcBorders>
              <w:bottom w:val="nil"/>
            </w:tcBorders>
            <w:textDirection w:val="tbRlV"/>
            <w:vAlign w:val="top"/>
          </w:tcPr>
          <w:p>
            <w:pPr>
              <w:pStyle w:val="8"/>
              <w:spacing w:before="216" w:line="208" w:lineRule="auto"/>
              <w:ind w:left="2721"/>
            </w:pPr>
            <w:r>
              <w:rPr>
                <w:spacing w:val="-1"/>
              </w:rPr>
              <w:t>成</w:t>
            </w:r>
            <w:r>
              <w:rPr>
                <w:spacing w:val="-21"/>
              </w:rPr>
              <w:t xml:space="preserve"> </w:t>
            </w:r>
            <w:r>
              <w:rPr>
                <w:spacing w:val="-1"/>
              </w:rPr>
              <w:t>员</w:t>
            </w:r>
            <w:r>
              <w:rPr>
                <w:spacing w:val="-19"/>
              </w:rPr>
              <w:t xml:space="preserve"> </w:t>
            </w:r>
            <w:r>
              <w:rPr>
                <w:spacing w:val="-1"/>
              </w:rPr>
              <w:t>单</w:t>
            </w:r>
            <w:r>
              <w:rPr>
                <w:spacing w:val="-34"/>
              </w:rPr>
              <w:t xml:space="preserve"> </w:t>
            </w:r>
            <w:r>
              <w:rPr>
                <w:spacing w:val="-1"/>
              </w:rPr>
              <w:t>位</w:t>
            </w:r>
          </w:p>
        </w:tc>
        <w:tc>
          <w:tcPr>
            <w:tcW w:w="2294" w:type="dxa"/>
            <w:vAlign w:val="top"/>
          </w:tcPr>
          <w:p>
            <w:pPr>
              <w:spacing w:line="328" w:lineRule="auto"/>
              <w:rPr>
                <w:rFonts w:ascii="Arial"/>
                <w:sz w:val="21"/>
              </w:rPr>
            </w:pPr>
          </w:p>
          <w:p>
            <w:pPr>
              <w:pStyle w:val="8"/>
              <w:spacing w:before="78" w:line="217" w:lineRule="auto"/>
              <w:ind w:left="566"/>
            </w:pPr>
            <w:r>
              <w:rPr>
                <w:rFonts w:hint="eastAsia"/>
                <w:spacing w:val="-5"/>
                <w:lang w:eastAsia="zh-CN"/>
              </w:rPr>
              <w:t>区</w:t>
            </w:r>
            <w:r>
              <w:rPr>
                <w:spacing w:val="-5"/>
              </w:rPr>
              <w:t>委宣传部</w:t>
            </w:r>
          </w:p>
        </w:tc>
        <w:tc>
          <w:tcPr>
            <w:tcW w:w="10125" w:type="dxa"/>
            <w:vAlign w:val="top"/>
          </w:tcPr>
          <w:p>
            <w:pPr>
              <w:pStyle w:val="8"/>
              <w:spacing w:before="85" w:line="242" w:lineRule="auto"/>
              <w:ind w:left="32" w:right="11" w:firstLine="476"/>
              <w:jc w:val="both"/>
            </w:pPr>
            <w:r>
              <w:t>负责组织和协调应急处置工作的宣传报道工作，提出新闻发布、报道工作意见，指</w:t>
            </w:r>
            <w:r>
              <w:rPr>
                <w:spacing w:val="-1"/>
              </w:rPr>
              <w:t>导组织新</w:t>
            </w:r>
            <w:r>
              <w:t xml:space="preserve"> 闻发布、报道工作，协调解决新闻发布、报道工作中出现的问题，收集、跟踪舆情，</w:t>
            </w:r>
            <w:r>
              <w:rPr>
                <w:spacing w:val="-1"/>
              </w:rPr>
              <w:t>组织舆论引</w:t>
            </w:r>
            <w:r>
              <w:t xml:space="preserve"> </w:t>
            </w:r>
            <w:r>
              <w:rPr>
                <w:spacing w:val="-11"/>
              </w:rPr>
              <w:t>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9" w:hRule="atLeast"/>
        </w:trPr>
        <w:tc>
          <w:tcPr>
            <w:tcW w:w="680" w:type="dxa"/>
            <w:vMerge w:val="continue"/>
            <w:tcBorders>
              <w:top w:val="nil"/>
              <w:bottom w:val="nil"/>
            </w:tcBorders>
            <w:textDirection w:val="tbRlV"/>
            <w:vAlign w:val="top"/>
          </w:tcPr>
          <w:p>
            <w:pPr>
              <w:rPr>
                <w:rFonts w:ascii="Arial"/>
                <w:sz w:val="21"/>
              </w:rPr>
            </w:pPr>
          </w:p>
        </w:tc>
        <w:tc>
          <w:tcPr>
            <w:tcW w:w="2294" w:type="dxa"/>
            <w:vAlign w:val="top"/>
          </w:tcPr>
          <w:p>
            <w:pPr>
              <w:spacing w:line="248" w:lineRule="auto"/>
              <w:rPr>
                <w:rFonts w:ascii="Arial"/>
                <w:sz w:val="21"/>
              </w:rPr>
            </w:pPr>
          </w:p>
          <w:p>
            <w:pPr>
              <w:spacing w:line="249" w:lineRule="auto"/>
              <w:rPr>
                <w:rFonts w:ascii="Arial"/>
                <w:sz w:val="21"/>
              </w:rPr>
            </w:pPr>
          </w:p>
          <w:p>
            <w:pPr>
              <w:pStyle w:val="8"/>
              <w:spacing w:before="78" w:line="217" w:lineRule="auto"/>
              <w:ind w:left="211"/>
              <w:jc w:val="center"/>
              <w:rPr>
                <w:rFonts w:hint="default" w:eastAsia="仿宋"/>
                <w:lang w:val="en-US" w:eastAsia="zh-CN"/>
              </w:rPr>
            </w:pPr>
            <w:r>
              <w:rPr>
                <w:rFonts w:hint="eastAsia"/>
                <w:spacing w:val="-4"/>
                <w:lang w:eastAsia="zh-CN"/>
              </w:rPr>
              <w:t>区</w:t>
            </w:r>
            <w:r>
              <w:rPr>
                <w:spacing w:val="-4"/>
              </w:rPr>
              <w:t>发展改革</w:t>
            </w:r>
            <w:r>
              <w:rPr>
                <w:rFonts w:hint="eastAsia"/>
                <w:spacing w:val="-4"/>
                <w:lang w:val="en-US" w:eastAsia="zh-CN"/>
              </w:rPr>
              <w:t>和科学技术局</w:t>
            </w:r>
          </w:p>
        </w:tc>
        <w:tc>
          <w:tcPr>
            <w:tcW w:w="10125" w:type="dxa"/>
            <w:vAlign w:val="top"/>
          </w:tcPr>
          <w:p>
            <w:pPr>
              <w:pStyle w:val="8"/>
              <w:spacing w:before="84" w:line="247" w:lineRule="auto"/>
              <w:ind w:left="21" w:right="11" w:firstLine="487"/>
              <w:jc w:val="both"/>
            </w:pPr>
            <w:r>
              <w:t>负责地质灾害应急抢险及投资计划的协调和监督管理工作；协调安排应急抢险建设</w:t>
            </w:r>
            <w:r>
              <w:rPr>
                <w:spacing w:val="-1"/>
              </w:rPr>
              <w:t>项目、按</w:t>
            </w:r>
            <w:r>
              <w:t xml:space="preserve"> 照国家政策争取重大应急工程建设纳入国家基建计划；负责地质灾害突发事件应急救援、转移安</w:t>
            </w:r>
            <w:r>
              <w:rPr>
                <w:spacing w:val="6"/>
              </w:rPr>
              <w:t xml:space="preserve"> </w:t>
            </w:r>
            <w:r>
              <w:t>置、灾区恢复重建等所需物资的保障工作，组织、协调救灾物资的调拨和供应；负责救灾粮食的</w:t>
            </w:r>
            <w:r>
              <w:rPr>
                <w:spacing w:val="6"/>
              </w:rPr>
              <w:t xml:space="preserve"> </w:t>
            </w:r>
            <w:r>
              <w:rPr>
                <w:spacing w:val="-2"/>
              </w:rPr>
              <w:t>粮源组织和供应工作；组织协调指导灾区有关部门实施救灾</w:t>
            </w:r>
            <w:r>
              <w:rPr>
                <w:spacing w:val="-3"/>
              </w:rPr>
              <w:t>粮的供应工作。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9" w:hRule="atLeast"/>
        </w:trPr>
        <w:tc>
          <w:tcPr>
            <w:tcW w:w="680" w:type="dxa"/>
            <w:vMerge w:val="continue"/>
            <w:tcBorders>
              <w:top w:val="nil"/>
              <w:bottom w:val="nil"/>
            </w:tcBorders>
            <w:textDirection w:val="tbRlV"/>
            <w:vAlign w:val="top"/>
          </w:tcPr>
          <w:p>
            <w:pPr>
              <w:rPr>
                <w:rFonts w:ascii="Arial"/>
                <w:sz w:val="21"/>
              </w:rPr>
            </w:pPr>
          </w:p>
        </w:tc>
        <w:tc>
          <w:tcPr>
            <w:tcW w:w="2294" w:type="dxa"/>
            <w:vAlign w:val="top"/>
          </w:tcPr>
          <w:p>
            <w:pPr>
              <w:spacing w:line="249" w:lineRule="auto"/>
              <w:rPr>
                <w:rFonts w:ascii="Arial"/>
                <w:sz w:val="21"/>
              </w:rPr>
            </w:pPr>
          </w:p>
          <w:p>
            <w:pPr>
              <w:spacing w:line="249" w:lineRule="auto"/>
              <w:rPr>
                <w:rFonts w:ascii="Arial"/>
                <w:sz w:val="21"/>
              </w:rPr>
            </w:pPr>
          </w:p>
          <w:p>
            <w:pPr>
              <w:pStyle w:val="8"/>
              <w:spacing w:before="78" w:line="217" w:lineRule="auto"/>
              <w:ind w:left="686"/>
            </w:pPr>
            <w:r>
              <w:rPr>
                <w:rFonts w:hint="eastAsia"/>
                <w:spacing w:val="-7"/>
                <w:lang w:eastAsia="zh-CN"/>
              </w:rPr>
              <w:t>区</w:t>
            </w:r>
            <w:r>
              <w:rPr>
                <w:spacing w:val="-7"/>
              </w:rPr>
              <w:t>教育局</w:t>
            </w:r>
          </w:p>
        </w:tc>
        <w:tc>
          <w:tcPr>
            <w:tcW w:w="10125" w:type="dxa"/>
            <w:vAlign w:val="top"/>
          </w:tcPr>
          <w:p>
            <w:pPr>
              <w:pStyle w:val="8"/>
              <w:spacing w:before="84" w:line="247" w:lineRule="auto"/>
              <w:ind w:left="24" w:right="11" w:firstLine="484"/>
            </w:pPr>
            <w:r>
              <w:t>负责组织全</w:t>
            </w:r>
            <w:r>
              <w:rPr>
                <w:rFonts w:hint="eastAsia"/>
                <w:lang w:eastAsia="zh-CN"/>
              </w:rPr>
              <w:t>区</w:t>
            </w:r>
            <w:r>
              <w:t>教育系统开展地质灾害隐患排查、应急演练，提高学校防范地质灾害</w:t>
            </w:r>
            <w:r>
              <w:rPr>
                <w:spacing w:val="-1"/>
              </w:rPr>
              <w:t>的能力；</w:t>
            </w:r>
            <w:r>
              <w:t xml:space="preserve"> 负责临灾时学生的安全管理和疏散，组织修复受损毁校舍和应急调配教学资源，妥善解决灾区学</w:t>
            </w:r>
            <w:r>
              <w:rPr>
                <w:spacing w:val="3"/>
              </w:rPr>
              <w:t xml:space="preserve"> </w:t>
            </w:r>
            <w:r>
              <w:t>生的就学问题；对受地质灾害影响严重的中小学校提出迁建建议；负责对学生进行防灾减灾应急</w:t>
            </w:r>
            <w:r>
              <w:rPr>
                <w:spacing w:val="3"/>
              </w:rPr>
              <w:t xml:space="preserve"> </w:t>
            </w:r>
            <w:r>
              <w:rPr>
                <w:spacing w:val="-2"/>
              </w:rPr>
              <w:t>知识的宣传教育工作；确保师生员工生命财产安全，维护学校</w:t>
            </w:r>
            <w:r>
              <w:rPr>
                <w:spacing w:val="-3"/>
              </w:rPr>
              <w:t>正常教学生活秩序。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9" w:hRule="atLeast"/>
        </w:trPr>
        <w:tc>
          <w:tcPr>
            <w:tcW w:w="680" w:type="dxa"/>
            <w:vMerge w:val="continue"/>
            <w:tcBorders>
              <w:top w:val="nil"/>
              <w:bottom w:val="nil"/>
            </w:tcBorders>
            <w:textDirection w:val="tbRlV"/>
            <w:vAlign w:val="top"/>
          </w:tcPr>
          <w:p>
            <w:pPr>
              <w:rPr>
                <w:rFonts w:ascii="Arial"/>
                <w:sz w:val="21"/>
              </w:rPr>
            </w:pPr>
          </w:p>
        </w:tc>
        <w:tc>
          <w:tcPr>
            <w:tcW w:w="2294" w:type="dxa"/>
            <w:vAlign w:val="top"/>
          </w:tcPr>
          <w:p>
            <w:pPr>
              <w:spacing w:line="279" w:lineRule="auto"/>
              <w:rPr>
                <w:rFonts w:ascii="Arial"/>
                <w:sz w:val="21"/>
              </w:rPr>
            </w:pPr>
          </w:p>
          <w:p>
            <w:pPr>
              <w:spacing w:line="279" w:lineRule="auto"/>
              <w:rPr>
                <w:rFonts w:ascii="Arial"/>
                <w:sz w:val="21"/>
              </w:rPr>
            </w:pPr>
          </w:p>
          <w:p>
            <w:pPr>
              <w:pStyle w:val="8"/>
              <w:spacing w:before="78" w:line="217" w:lineRule="auto"/>
              <w:ind w:firstLine="678" w:firstLineChars="300"/>
            </w:pPr>
            <w:r>
              <w:rPr>
                <w:rFonts w:hint="eastAsia"/>
                <w:spacing w:val="-7"/>
                <w:lang w:eastAsia="zh-CN"/>
              </w:rPr>
              <w:t>区</w:t>
            </w:r>
            <w:r>
              <w:rPr>
                <w:spacing w:val="-7"/>
              </w:rPr>
              <w:t>公安局</w:t>
            </w:r>
          </w:p>
        </w:tc>
        <w:tc>
          <w:tcPr>
            <w:tcW w:w="10125" w:type="dxa"/>
            <w:vAlign w:val="top"/>
          </w:tcPr>
          <w:p>
            <w:pPr>
              <w:pStyle w:val="8"/>
              <w:spacing w:before="83" w:line="252" w:lineRule="auto"/>
              <w:ind w:right="11" w:firstLine="480" w:firstLineChars="200"/>
              <w:jc w:val="both"/>
            </w:pPr>
            <w:r>
              <w:t>负责组织公安民警协助灾区政府对遇险人员实施搜救；协助灾区政府动员受灾害威</w:t>
            </w:r>
            <w:r>
              <w:rPr>
                <w:spacing w:val="-1"/>
              </w:rPr>
              <w:t>胁的居民</w:t>
            </w:r>
            <w:r>
              <w:t xml:space="preserve"> 以及其他人员疏散，转移到安全地带，情况危急时，可强制组织避灾疏散，消除隐患；迅速组织交通管理和疏导，必要时，对灾区和通往灾区的道路实行交通管制，确保抢险救灾车辆顺利</w:t>
            </w:r>
            <w:r>
              <w:rPr>
                <w:spacing w:val="-3"/>
              </w:rPr>
              <w:t>通过，全力保证抢险救灾工作顺利进行。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0" w:hRule="atLeast"/>
        </w:trPr>
        <w:tc>
          <w:tcPr>
            <w:tcW w:w="680" w:type="dxa"/>
            <w:vMerge w:val="continue"/>
            <w:tcBorders>
              <w:top w:val="nil"/>
              <w:bottom w:val="nil"/>
            </w:tcBorders>
            <w:textDirection w:val="tbRlV"/>
            <w:vAlign w:val="top"/>
          </w:tcPr>
          <w:p>
            <w:pPr>
              <w:rPr>
                <w:rFonts w:ascii="Arial"/>
                <w:sz w:val="21"/>
              </w:rPr>
            </w:pPr>
          </w:p>
        </w:tc>
        <w:tc>
          <w:tcPr>
            <w:tcW w:w="2294" w:type="dxa"/>
            <w:vAlign w:val="top"/>
          </w:tcPr>
          <w:p>
            <w:pPr>
              <w:pStyle w:val="8"/>
              <w:spacing w:before="265" w:line="217" w:lineRule="auto"/>
              <w:ind w:left="686"/>
            </w:pPr>
            <w:r>
              <w:rPr>
                <w:rFonts w:hint="eastAsia"/>
                <w:spacing w:val="-7"/>
                <w:lang w:eastAsia="zh-CN"/>
              </w:rPr>
              <w:t>区</w:t>
            </w:r>
            <w:r>
              <w:rPr>
                <w:spacing w:val="-7"/>
              </w:rPr>
              <w:t>民政局</w:t>
            </w:r>
          </w:p>
        </w:tc>
        <w:tc>
          <w:tcPr>
            <w:tcW w:w="10125" w:type="dxa"/>
            <w:vAlign w:val="top"/>
          </w:tcPr>
          <w:p>
            <w:pPr>
              <w:pStyle w:val="8"/>
              <w:spacing w:before="282" w:line="215" w:lineRule="auto"/>
              <w:ind w:left="499"/>
              <w:rPr>
                <w:rFonts w:hint="default" w:eastAsia="仿宋"/>
                <w:lang w:val="en-US" w:eastAsia="zh-CN"/>
              </w:rPr>
            </w:pPr>
            <w:r>
              <w:rPr>
                <w:rFonts w:hint="eastAsia"/>
                <w:lang w:val="en-US" w:eastAsia="zh-CN"/>
              </w:rPr>
              <w:t>安抚、抚恤伤亡人员和家属，处理其他有关善后工作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4" w:hRule="atLeast"/>
        </w:trPr>
        <w:tc>
          <w:tcPr>
            <w:tcW w:w="680" w:type="dxa"/>
            <w:vMerge w:val="continue"/>
            <w:tcBorders>
              <w:top w:val="nil"/>
            </w:tcBorders>
            <w:textDirection w:val="tbRlV"/>
            <w:vAlign w:val="top"/>
          </w:tcPr>
          <w:p>
            <w:pPr>
              <w:rPr>
                <w:rFonts w:ascii="Arial"/>
                <w:sz w:val="21"/>
              </w:rPr>
            </w:pPr>
          </w:p>
        </w:tc>
        <w:tc>
          <w:tcPr>
            <w:tcW w:w="2294" w:type="dxa"/>
            <w:vAlign w:val="top"/>
          </w:tcPr>
          <w:p>
            <w:pPr>
              <w:spacing w:line="330" w:lineRule="auto"/>
              <w:rPr>
                <w:rFonts w:ascii="Arial"/>
                <w:sz w:val="21"/>
              </w:rPr>
            </w:pPr>
          </w:p>
          <w:p>
            <w:pPr>
              <w:pStyle w:val="8"/>
              <w:spacing w:before="78" w:line="217" w:lineRule="auto"/>
              <w:ind w:left="686"/>
            </w:pPr>
            <w:r>
              <w:rPr>
                <w:rFonts w:hint="eastAsia"/>
                <w:spacing w:val="-7"/>
                <w:lang w:eastAsia="zh-CN"/>
              </w:rPr>
              <w:t>区</w:t>
            </w:r>
            <w:r>
              <w:rPr>
                <w:spacing w:val="-7"/>
              </w:rPr>
              <w:t>财政局</w:t>
            </w:r>
          </w:p>
        </w:tc>
        <w:tc>
          <w:tcPr>
            <w:tcW w:w="10125" w:type="dxa"/>
            <w:vAlign w:val="top"/>
          </w:tcPr>
          <w:p>
            <w:pPr>
              <w:pStyle w:val="8"/>
              <w:spacing w:before="86" w:line="243" w:lineRule="auto"/>
              <w:ind w:left="24" w:right="11" w:firstLine="484"/>
              <w:jc w:val="both"/>
            </w:pPr>
            <w:r>
              <w:rPr>
                <w:spacing w:val="-2"/>
              </w:rPr>
              <w:t>负责突发地质灾害应急防治与救灾资金的筹集和落实；督促县（区）级财政落实本级财政负</w:t>
            </w:r>
            <w:r>
              <w:t xml:space="preserve"> 担的应急防治资金和救援资金；做好应急防治与救灾补助资金的分配及使用的指导、监督和管理</w:t>
            </w:r>
            <w:r>
              <w:rPr>
                <w:spacing w:val="3"/>
              </w:rPr>
              <w:t xml:space="preserve"> </w:t>
            </w:r>
            <w:r>
              <w:rPr>
                <w:spacing w:val="-5"/>
              </w:rPr>
              <w:t>等工作。</w:t>
            </w:r>
          </w:p>
        </w:tc>
      </w:tr>
    </w:tbl>
    <w:p>
      <w:pPr>
        <w:rPr>
          <w:rFonts w:ascii="Arial"/>
          <w:sz w:val="21"/>
        </w:rPr>
      </w:pPr>
    </w:p>
    <w:p>
      <w:pPr>
        <w:rPr>
          <w:rFonts w:ascii="Arial" w:hAnsi="Arial" w:eastAsia="Arial" w:cs="Arial"/>
          <w:sz w:val="21"/>
          <w:szCs w:val="21"/>
        </w:rPr>
        <w:sectPr>
          <w:pgSz w:w="16839" w:h="11906"/>
          <w:pgMar w:top="1582" w:right="1725" w:bottom="400" w:left="1162" w:header="0" w:footer="0" w:gutter="0"/>
          <w:cols w:space="720" w:num="1"/>
        </w:sectPr>
      </w:pPr>
    </w:p>
    <w:p>
      <w:pPr>
        <w:spacing w:before="82"/>
      </w:pPr>
      <w:r>
        <w:drawing>
          <wp:anchor distT="0" distB="0" distL="0" distR="0" simplePos="0" relativeHeight="251663360" behindDoc="0" locked="0" layoutInCell="0" allowOverlap="1">
            <wp:simplePos x="0" y="0"/>
            <wp:positionH relativeFrom="page">
              <wp:posOffset>811530</wp:posOffset>
            </wp:positionH>
            <wp:positionV relativeFrom="page">
              <wp:posOffset>5820410</wp:posOffset>
            </wp:positionV>
            <wp:extent cx="7620" cy="17843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8"/>
                    <a:stretch>
                      <a:fillRect/>
                    </a:stretch>
                  </pic:blipFill>
                  <pic:spPr>
                    <a:xfrm>
                      <a:off x="0" y="0"/>
                      <a:ext cx="7672" cy="178434"/>
                    </a:xfrm>
                    <a:prstGeom prst="rect">
                      <a:avLst/>
                    </a:prstGeom>
                  </pic:spPr>
                </pic:pic>
              </a:graphicData>
            </a:graphic>
          </wp:anchor>
        </w:drawing>
      </w:r>
    </w:p>
    <w:p>
      <w:pPr>
        <w:spacing w:before="82"/>
      </w:pPr>
    </w:p>
    <w:tbl>
      <w:tblPr>
        <w:tblStyle w:val="7"/>
        <w:tblW w:w="12859" w:type="dxa"/>
        <w:tblInd w:w="84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3"/>
        <w:gridCol w:w="1980"/>
        <w:gridCol w:w="102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 w:hRule="atLeast"/>
        </w:trPr>
        <w:tc>
          <w:tcPr>
            <w:tcW w:w="2593" w:type="dxa"/>
            <w:gridSpan w:val="2"/>
            <w:vAlign w:val="top"/>
          </w:tcPr>
          <w:p>
            <w:pPr>
              <w:spacing w:before="154" w:line="224" w:lineRule="auto"/>
              <w:ind w:left="957"/>
              <w:rPr>
                <w:rFonts w:ascii="黑体" w:hAnsi="黑体" w:eastAsia="黑体" w:cs="黑体"/>
                <w:sz w:val="28"/>
                <w:szCs w:val="28"/>
              </w:rPr>
            </w:pPr>
            <w:r>
              <w:rPr>
                <w:rFonts w:ascii="黑体" w:hAnsi="黑体" w:eastAsia="黑体" w:cs="黑体"/>
                <w:spacing w:val="-4"/>
                <w:sz w:val="28"/>
                <w:szCs w:val="28"/>
              </w:rPr>
              <w:t>指挥机构</w:t>
            </w:r>
          </w:p>
        </w:tc>
        <w:tc>
          <w:tcPr>
            <w:tcW w:w="10266" w:type="dxa"/>
            <w:vAlign w:val="top"/>
          </w:tcPr>
          <w:p>
            <w:pPr>
              <w:spacing w:before="173" w:line="222" w:lineRule="auto"/>
              <w:ind w:left="4521"/>
              <w:rPr>
                <w:rFonts w:ascii="黑体" w:hAnsi="黑体" w:eastAsia="黑体" w:cs="黑体"/>
                <w:sz w:val="28"/>
                <w:szCs w:val="28"/>
              </w:rPr>
            </w:pPr>
            <w:r>
              <w:rPr>
                <w:rFonts w:ascii="黑体" w:hAnsi="黑体" w:eastAsia="黑体" w:cs="黑体"/>
                <w:spacing w:val="-5"/>
                <w:sz w:val="28"/>
                <w:szCs w:val="28"/>
              </w:rPr>
              <w:t>职</w:t>
            </w:r>
            <w:r>
              <w:rPr>
                <w:rFonts w:ascii="黑体" w:hAnsi="黑体" w:eastAsia="黑体" w:cs="黑体"/>
                <w:spacing w:val="6"/>
                <w:sz w:val="28"/>
                <w:szCs w:val="28"/>
              </w:rPr>
              <w:t xml:space="preserve">  </w:t>
            </w:r>
            <w:r>
              <w:rPr>
                <w:rFonts w:ascii="黑体" w:hAnsi="黑体" w:eastAsia="黑体" w:cs="黑体"/>
                <w:spacing w:val="-5"/>
                <w:sz w:val="28"/>
                <w:szCs w:val="28"/>
              </w:rPr>
              <w:t>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13" w:type="dxa"/>
            <w:vMerge w:val="restart"/>
            <w:tcBorders>
              <w:bottom w:val="nil"/>
            </w:tcBorders>
            <w:textDirection w:val="tbRlV"/>
            <w:vAlign w:val="top"/>
          </w:tcPr>
          <w:p>
            <w:pPr>
              <w:pStyle w:val="8"/>
              <w:spacing w:before="234" w:line="208" w:lineRule="auto"/>
              <w:ind w:left="3286"/>
            </w:pPr>
            <w:r>
              <w:t>成</w:t>
            </w:r>
            <w:r>
              <w:rPr>
                <w:spacing w:val="45"/>
              </w:rPr>
              <w:t xml:space="preserve"> </w:t>
            </w:r>
            <w:r>
              <w:t>员</w:t>
            </w:r>
            <w:r>
              <w:rPr>
                <w:spacing w:val="40"/>
              </w:rPr>
              <w:t xml:space="preserve"> </w:t>
            </w:r>
            <w:r>
              <w:t>单 位</w:t>
            </w:r>
          </w:p>
        </w:tc>
        <w:tc>
          <w:tcPr>
            <w:tcW w:w="1980" w:type="dxa"/>
            <w:vAlign w:val="top"/>
          </w:tcPr>
          <w:p>
            <w:pPr>
              <w:pStyle w:val="8"/>
              <w:spacing w:before="135" w:line="217" w:lineRule="auto"/>
              <w:jc w:val="center"/>
              <w:rPr>
                <w:rFonts w:hint="default" w:eastAsia="仿宋"/>
                <w:lang w:val="en-US" w:eastAsia="zh-CN"/>
              </w:rPr>
            </w:pPr>
            <w:r>
              <w:rPr>
                <w:rFonts w:hint="eastAsia"/>
                <w:lang w:val="en-US" w:eastAsia="zh-CN"/>
              </w:rPr>
              <w:t>长治市生态环境局屯留分局</w:t>
            </w:r>
          </w:p>
        </w:tc>
        <w:tc>
          <w:tcPr>
            <w:tcW w:w="10266" w:type="dxa"/>
            <w:vAlign w:val="top"/>
          </w:tcPr>
          <w:p>
            <w:pPr>
              <w:pStyle w:val="8"/>
              <w:spacing w:before="168" w:line="217" w:lineRule="auto"/>
              <w:ind w:firstLine="468" w:firstLineChars="200"/>
              <w:jc w:val="both"/>
            </w:pPr>
            <w:r>
              <w:rPr>
                <w:spacing w:val="-3"/>
              </w:rPr>
              <w:t>负责灾区环境的监测、监控与评价，防范发生环境污染次生灾害。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13" w:type="dxa"/>
            <w:vMerge w:val="continue"/>
            <w:tcBorders>
              <w:top w:val="nil"/>
              <w:bottom w:val="nil"/>
            </w:tcBorders>
            <w:textDirection w:val="tbRlV"/>
            <w:vAlign w:val="top"/>
          </w:tcPr>
          <w:p>
            <w:pPr>
              <w:rPr>
                <w:rFonts w:ascii="Arial"/>
                <w:sz w:val="21"/>
              </w:rPr>
            </w:pPr>
          </w:p>
        </w:tc>
        <w:tc>
          <w:tcPr>
            <w:tcW w:w="1980" w:type="dxa"/>
            <w:vAlign w:val="top"/>
          </w:tcPr>
          <w:p>
            <w:pPr>
              <w:pStyle w:val="8"/>
              <w:spacing w:before="168" w:line="216" w:lineRule="auto"/>
              <w:jc w:val="center"/>
            </w:pPr>
            <w:r>
              <w:rPr>
                <w:rFonts w:hint="eastAsia"/>
                <w:spacing w:val="-4"/>
                <w:lang w:eastAsia="zh-CN"/>
              </w:rPr>
              <w:t>区</w:t>
            </w:r>
            <w:r>
              <w:rPr>
                <w:spacing w:val="-4"/>
              </w:rPr>
              <w:t>住房和城乡建设局</w:t>
            </w:r>
          </w:p>
        </w:tc>
        <w:tc>
          <w:tcPr>
            <w:tcW w:w="10266" w:type="dxa"/>
            <w:vAlign w:val="top"/>
          </w:tcPr>
          <w:p>
            <w:pPr>
              <w:pStyle w:val="8"/>
              <w:spacing w:before="199" w:line="215" w:lineRule="auto"/>
              <w:ind w:left="509"/>
              <w:jc w:val="both"/>
            </w:pPr>
            <w:r>
              <w:rPr>
                <w:spacing w:val="-3"/>
              </w:rPr>
              <w:t>负责指导灾后群众住房和公共设施恢复重建设计、建设和质量监督工作。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0" w:hRule="atLeast"/>
        </w:trPr>
        <w:tc>
          <w:tcPr>
            <w:tcW w:w="613" w:type="dxa"/>
            <w:vMerge w:val="continue"/>
            <w:tcBorders>
              <w:top w:val="nil"/>
              <w:bottom w:val="nil"/>
            </w:tcBorders>
            <w:textDirection w:val="tbRlV"/>
            <w:vAlign w:val="top"/>
          </w:tcPr>
          <w:p>
            <w:pPr>
              <w:rPr>
                <w:rFonts w:ascii="Arial"/>
                <w:sz w:val="21"/>
              </w:rPr>
            </w:pPr>
          </w:p>
        </w:tc>
        <w:tc>
          <w:tcPr>
            <w:tcW w:w="1980" w:type="dxa"/>
            <w:vAlign w:val="top"/>
          </w:tcPr>
          <w:p>
            <w:pPr>
              <w:spacing w:line="418" w:lineRule="auto"/>
              <w:jc w:val="center"/>
              <w:rPr>
                <w:rFonts w:ascii="Arial"/>
                <w:sz w:val="21"/>
              </w:rPr>
            </w:pPr>
          </w:p>
          <w:p>
            <w:pPr>
              <w:pStyle w:val="8"/>
              <w:spacing w:before="78" w:line="217" w:lineRule="auto"/>
              <w:jc w:val="center"/>
            </w:pPr>
            <w:r>
              <w:rPr>
                <w:rFonts w:hint="eastAsia"/>
                <w:spacing w:val="-4"/>
                <w:lang w:eastAsia="zh-CN"/>
              </w:rPr>
              <w:t>区</w:t>
            </w:r>
            <w:r>
              <w:rPr>
                <w:spacing w:val="-4"/>
              </w:rPr>
              <w:t>自然资源局</w:t>
            </w:r>
          </w:p>
        </w:tc>
        <w:tc>
          <w:tcPr>
            <w:tcW w:w="10266" w:type="dxa"/>
            <w:vAlign w:val="top"/>
          </w:tcPr>
          <w:p>
            <w:pPr>
              <w:pStyle w:val="8"/>
              <w:spacing w:before="132" w:line="276" w:lineRule="auto"/>
              <w:ind w:left="19" w:right="10" w:firstLine="490"/>
              <w:jc w:val="left"/>
            </w:pPr>
            <w:r>
              <w:rPr>
                <w:spacing w:val="-1"/>
              </w:rPr>
              <w:t>负责突发地质灾害信息</w:t>
            </w:r>
            <w:r>
              <w:rPr>
                <w:rFonts w:hint="eastAsia"/>
                <w:spacing w:val="-1"/>
                <w:lang w:eastAsia="zh-CN"/>
              </w:rPr>
              <w:t>收</w:t>
            </w:r>
            <w:r>
              <w:rPr>
                <w:spacing w:val="-1"/>
              </w:rPr>
              <w:t>集，组织开展突发地质灾害应急调查和灾害区域周边的隐患排查</w:t>
            </w:r>
            <w:r>
              <w:t>及专业监测；负责提供地质灾害气象风险预警成果，对灾害发展</w:t>
            </w:r>
            <w:r>
              <w:rPr>
                <w:spacing w:val="-1"/>
              </w:rPr>
              <w:t>趋势进行预测，为灾害应急救</w:t>
            </w:r>
            <w:r>
              <w:rPr>
                <w:spacing w:val="-2"/>
              </w:rPr>
              <w:t>援提供技术支撑，提出应急处置的措施和建议，对必要的应急处置工程进行技</w:t>
            </w:r>
            <w:r>
              <w:rPr>
                <w:spacing w:val="-3"/>
              </w:rPr>
              <w:t>术指导。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52" w:hRule="atLeast"/>
        </w:trPr>
        <w:tc>
          <w:tcPr>
            <w:tcW w:w="613" w:type="dxa"/>
            <w:vMerge w:val="continue"/>
            <w:tcBorders>
              <w:top w:val="nil"/>
              <w:bottom w:val="nil"/>
            </w:tcBorders>
            <w:textDirection w:val="tbRlV"/>
            <w:vAlign w:val="top"/>
          </w:tcPr>
          <w:p>
            <w:pPr>
              <w:rPr>
                <w:rFonts w:ascii="Arial"/>
                <w:sz w:val="21"/>
              </w:rPr>
            </w:pPr>
          </w:p>
        </w:tc>
        <w:tc>
          <w:tcPr>
            <w:tcW w:w="1980" w:type="dxa"/>
            <w:vAlign w:val="top"/>
          </w:tcPr>
          <w:p>
            <w:pPr>
              <w:spacing w:line="251" w:lineRule="auto"/>
              <w:jc w:val="center"/>
              <w:rPr>
                <w:rFonts w:ascii="Arial"/>
                <w:sz w:val="21"/>
              </w:rPr>
            </w:pPr>
          </w:p>
          <w:p>
            <w:pPr>
              <w:spacing w:line="251" w:lineRule="auto"/>
              <w:jc w:val="center"/>
              <w:rPr>
                <w:rFonts w:ascii="Arial"/>
                <w:sz w:val="21"/>
              </w:rPr>
            </w:pPr>
          </w:p>
          <w:p>
            <w:pPr>
              <w:spacing w:line="251" w:lineRule="auto"/>
              <w:jc w:val="center"/>
              <w:rPr>
                <w:rFonts w:ascii="Arial"/>
                <w:sz w:val="21"/>
              </w:rPr>
            </w:pPr>
          </w:p>
          <w:p>
            <w:pPr>
              <w:pStyle w:val="8"/>
              <w:spacing w:before="79" w:line="217" w:lineRule="auto"/>
              <w:jc w:val="center"/>
            </w:pPr>
            <w:r>
              <w:rPr>
                <w:rFonts w:hint="eastAsia"/>
                <w:spacing w:val="-5"/>
                <w:lang w:eastAsia="zh-CN"/>
              </w:rPr>
              <w:t>区</w:t>
            </w:r>
            <w:r>
              <w:rPr>
                <w:spacing w:val="-5"/>
              </w:rPr>
              <w:t>应急管理局</w:t>
            </w:r>
          </w:p>
        </w:tc>
        <w:tc>
          <w:tcPr>
            <w:tcW w:w="10266" w:type="dxa"/>
            <w:vAlign w:val="top"/>
          </w:tcPr>
          <w:p>
            <w:pPr>
              <w:pStyle w:val="8"/>
              <w:spacing w:before="132" w:line="276" w:lineRule="auto"/>
              <w:ind w:left="19" w:right="10" w:firstLine="490"/>
              <w:jc w:val="left"/>
            </w:pPr>
            <w:r>
              <w:rPr>
                <w:rFonts w:hint="default"/>
                <w:lang w:val="en-US" w:eastAsia="zh-CN"/>
              </w:rPr>
              <w:t>负责各部门之间应急工作的组织协调与指挥联络；负责组建应急抢险队伍，开展应急救援；储备、管理应急物资装备、救灾物资并监督使用；协调指导有关部门、监督相关行业生产经营单位做好因地质灾害引发的安全生产事故防范和隐患治理工作；对已经发生或可能引发火灾、爆炸等次生灾害进行抢险；负责统计、核定灾情和救灾款物的分配、发放、监督管理工作，并妥善安排受灾群众生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 w:hRule="atLeast"/>
        </w:trPr>
        <w:tc>
          <w:tcPr>
            <w:tcW w:w="613" w:type="dxa"/>
            <w:vMerge w:val="continue"/>
            <w:tcBorders>
              <w:top w:val="nil"/>
              <w:bottom w:val="nil"/>
            </w:tcBorders>
            <w:textDirection w:val="tbRlV"/>
            <w:vAlign w:val="top"/>
          </w:tcPr>
          <w:p>
            <w:pPr>
              <w:rPr>
                <w:rFonts w:ascii="Arial"/>
                <w:sz w:val="21"/>
              </w:rPr>
            </w:pPr>
          </w:p>
        </w:tc>
        <w:tc>
          <w:tcPr>
            <w:tcW w:w="1980" w:type="dxa"/>
            <w:vAlign w:val="top"/>
          </w:tcPr>
          <w:p>
            <w:pPr>
              <w:spacing w:line="421" w:lineRule="auto"/>
              <w:jc w:val="center"/>
              <w:rPr>
                <w:rFonts w:ascii="Arial"/>
                <w:sz w:val="21"/>
              </w:rPr>
            </w:pPr>
          </w:p>
          <w:p>
            <w:pPr>
              <w:pStyle w:val="8"/>
              <w:spacing w:before="78" w:line="217" w:lineRule="auto"/>
              <w:jc w:val="center"/>
            </w:pPr>
            <w:r>
              <w:rPr>
                <w:rFonts w:hint="eastAsia"/>
                <w:spacing w:val="-5"/>
                <w:lang w:eastAsia="zh-CN"/>
              </w:rPr>
              <w:t>区</w:t>
            </w:r>
            <w:r>
              <w:rPr>
                <w:spacing w:val="-5"/>
              </w:rPr>
              <w:t>交通运输局</w:t>
            </w:r>
          </w:p>
        </w:tc>
        <w:tc>
          <w:tcPr>
            <w:tcW w:w="10266" w:type="dxa"/>
            <w:vAlign w:val="top"/>
          </w:tcPr>
          <w:p>
            <w:pPr>
              <w:pStyle w:val="8"/>
              <w:spacing w:before="133" w:line="277" w:lineRule="auto"/>
              <w:ind w:left="21" w:right="10" w:firstLine="487"/>
              <w:jc w:val="left"/>
            </w:pPr>
            <w:r>
              <w:rPr>
                <w:spacing w:val="-1"/>
              </w:rPr>
              <w:t>负责对所管辖的公路沿线地质灾害进行地质灾害隐患排查监测和治理工作；及时组织抢修</w:t>
            </w:r>
            <w:r>
              <w:t>损毁的交通设施，确保道路畅通；组织协调应急运力，配</w:t>
            </w:r>
            <w:r>
              <w:rPr>
                <w:spacing w:val="-1"/>
              </w:rPr>
              <w:t>合有关部门做好救灾人员、物资的运</w:t>
            </w:r>
            <w:r>
              <w:rPr>
                <w:spacing w:val="-4"/>
              </w:rPr>
              <w:t>输工作。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 w:hRule="atLeast"/>
        </w:trPr>
        <w:tc>
          <w:tcPr>
            <w:tcW w:w="613" w:type="dxa"/>
            <w:tcBorders>
              <w:top w:val="nil"/>
              <w:bottom w:val="nil"/>
            </w:tcBorders>
            <w:textDirection w:val="tbRlV"/>
            <w:vAlign w:val="top"/>
          </w:tcPr>
          <w:p>
            <w:pPr>
              <w:rPr>
                <w:rFonts w:ascii="Arial"/>
                <w:sz w:val="21"/>
              </w:rPr>
            </w:pPr>
          </w:p>
        </w:tc>
        <w:tc>
          <w:tcPr>
            <w:tcW w:w="1980" w:type="dxa"/>
            <w:shd w:val="clear" w:color="auto" w:fill="auto"/>
            <w:vAlign w:val="top"/>
          </w:tcPr>
          <w:p>
            <w:pPr>
              <w:spacing w:line="416" w:lineRule="auto"/>
              <w:jc w:val="center"/>
              <w:rPr>
                <w:rFonts w:ascii="Arial"/>
                <w:sz w:val="21"/>
              </w:rPr>
            </w:pPr>
          </w:p>
          <w:p>
            <w:pPr>
              <w:pStyle w:val="8"/>
              <w:spacing w:before="78" w:line="217" w:lineRule="auto"/>
              <w:jc w:val="center"/>
              <w:rPr>
                <w:rFonts w:hint="eastAsia" w:ascii="仿宋" w:hAnsi="仿宋" w:eastAsia="仿宋" w:cs="仿宋"/>
                <w:snapToGrid w:val="0"/>
                <w:color w:val="000000"/>
                <w:kern w:val="0"/>
                <w:sz w:val="24"/>
                <w:szCs w:val="24"/>
                <w:lang w:val="en-US" w:eastAsia="zh-CN" w:bidi="ar-SA"/>
              </w:rPr>
            </w:pPr>
            <w:r>
              <w:rPr>
                <w:rFonts w:hint="eastAsia"/>
                <w:spacing w:val="-7"/>
                <w:lang w:eastAsia="zh-CN"/>
              </w:rPr>
              <w:t>区</w:t>
            </w:r>
            <w:r>
              <w:rPr>
                <w:spacing w:val="-7"/>
              </w:rPr>
              <w:t>水利局</w:t>
            </w:r>
          </w:p>
        </w:tc>
        <w:tc>
          <w:tcPr>
            <w:tcW w:w="10266" w:type="dxa"/>
            <w:shd w:val="clear" w:color="auto" w:fill="auto"/>
            <w:vAlign w:val="top"/>
          </w:tcPr>
          <w:p>
            <w:pPr>
              <w:pStyle w:val="8"/>
              <w:spacing w:before="132" w:line="276" w:lineRule="auto"/>
              <w:ind w:left="33" w:leftChars="0" w:right="10" w:rightChars="0" w:firstLine="475" w:firstLineChars="0"/>
              <w:jc w:val="left"/>
              <w:rPr>
                <w:rFonts w:ascii="仿宋" w:hAnsi="仿宋" w:eastAsia="仿宋" w:cs="仿宋"/>
                <w:snapToGrid w:val="0"/>
                <w:color w:val="000000"/>
                <w:kern w:val="0"/>
                <w:sz w:val="24"/>
                <w:szCs w:val="24"/>
                <w:lang w:val="en-US" w:eastAsia="en-US" w:bidi="ar-SA"/>
              </w:rPr>
            </w:pPr>
            <w:r>
              <w:rPr>
                <w:spacing w:val="-4"/>
              </w:rPr>
              <w:t>负责河道、水库地质灾害引发的次生水利设施洪涝灾害的处置；及时</w:t>
            </w:r>
            <w:r>
              <w:rPr>
                <w:spacing w:val="-5"/>
              </w:rPr>
              <w:t>向指挥部报告灾情动</w:t>
            </w:r>
            <w:r>
              <w:rPr>
                <w:spacing w:val="-4"/>
              </w:rPr>
              <w:t>态；协调、指导全</w:t>
            </w:r>
            <w:r>
              <w:rPr>
                <w:rFonts w:hint="eastAsia"/>
                <w:spacing w:val="-4"/>
                <w:lang w:eastAsia="zh-CN"/>
              </w:rPr>
              <w:t>区</w:t>
            </w:r>
            <w:r>
              <w:rPr>
                <w:spacing w:val="-4"/>
              </w:rPr>
              <w:t>水利工程抢险工作，督促灾后水利设施的修复，对影响水利</w:t>
            </w:r>
            <w:r>
              <w:rPr>
                <w:spacing w:val="-5"/>
              </w:rPr>
              <w:t>工程设施安全</w:t>
            </w:r>
            <w:r>
              <w:rPr>
                <w:spacing w:val="-2"/>
              </w:rPr>
              <w:t>的地质灾害和规划自然资源部门会商后采取</w:t>
            </w:r>
            <w:r>
              <w:rPr>
                <w:spacing w:val="-3"/>
              </w:rPr>
              <w:t>紧急措施避免水利工程遭受或引发地质灾害。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 w:hRule="atLeast"/>
        </w:trPr>
        <w:tc>
          <w:tcPr>
            <w:tcW w:w="613" w:type="dxa"/>
            <w:tcBorders>
              <w:top w:val="nil"/>
            </w:tcBorders>
            <w:textDirection w:val="tbRlV"/>
            <w:vAlign w:val="top"/>
          </w:tcPr>
          <w:p>
            <w:pPr>
              <w:rPr>
                <w:rFonts w:ascii="Arial"/>
                <w:sz w:val="21"/>
              </w:rPr>
            </w:pPr>
          </w:p>
        </w:tc>
        <w:tc>
          <w:tcPr>
            <w:tcW w:w="1980" w:type="dxa"/>
            <w:shd w:val="clear" w:color="auto" w:fill="auto"/>
            <w:vAlign w:val="top"/>
          </w:tcPr>
          <w:p>
            <w:pPr>
              <w:pStyle w:val="8"/>
              <w:spacing w:before="298" w:line="216" w:lineRule="auto"/>
              <w:jc w:val="center"/>
              <w:rPr>
                <w:rFonts w:hint="eastAsia" w:ascii="宋体" w:hAnsi="宋体" w:eastAsia="宋体" w:cs="宋体"/>
                <w:snapToGrid w:val="0"/>
                <w:color w:val="000000"/>
                <w:kern w:val="0"/>
                <w:sz w:val="24"/>
                <w:szCs w:val="24"/>
                <w:lang w:val="en-US" w:eastAsia="zh-CN" w:bidi="ar-SA"/>
              </w:rPr>
            </w:pPr>
            <w:r>
              <w:rPr>
                <w:rFonts w:hint="eastAsia"/>
                <w:spacing w:val="-5"/>
                <w:lang w:eastAsia="zh-CN"/>
              </w:rPr>
              <w:t>区</w:t>
            </w:r>
            <w:r>
              <w:rPr>
                <w:spacing w:val="-5"/>
              </w:rPr>
              <w:t>农业农村局</w:t>
            </w:r>
          </w:p>
        </w:tc>
        <w:tc>
          <w:tcPr>
            <w:tcW w:w="10266" w:type="dxa"/>
            <w:shd w:val="clear" w:color="auto" w:fill="auto"/>
            <w:vAlign w:val="top"/>
          </w:tcPr>
          <w:p>
            <w:pPr>
              <w:pStyle w:val="8"/>
              <w:spacing w:before="133" w:line="260" w:lineRule="auto"/>
              <w:ind w:left="33" w:leftChars="0" w:right="10" w:rightChars="0" w:firstLine="475" w:firstLineChars="0"/>
              <w:jc w:val="left"/>
              <w:rPr>
                <w:rFonts w:ascii="仿宋" w:hAnsi="仿宋" w:eastAsia="仿宋" w:cs="仿宋"/>
                <w:snapToGrid w:val="0"/>
                <w:color w:val="000000"/>
                <w:kern w:val="0"/>
                <w:sz w:val="24"/>
                <w:szCs w:val="24"/>
                <w:lang w:val="en-US" w:eastAsia="en-US" w:bidi="ar-SA"/>
              </w:rPr>
            </w:pPr>
            <w:r>
              <w:rPr>
                <w:spacing w:val="-4"/>
              </w:rPr>
              <w:t>负责综合协调灾区动物疫情防治工作；负责农业生产自救，核实受损</w:t>
            </w:r>
            <w:r>
              <w:rPr>
                <w:spacing w:val="-5"/>
              </w:rPr>
              <w:t>情况；指导县、区落实农业生产恢复。</w:t>
            </w:r>
          </w:p>
        </w:tc>
      </w:tr>
    </w:tbl>
    <w:tbl>
      <w:tblPr>
        <w:tblStyle w:val="7"/>
        <w:tblpPr w:leftFromText="180" w:rightFromText="180" w:vertAnchor="text" w:horzAnchor="page" w:tblpX="1956" w:tblpY="240"/>
        <w:tblOverlap w:val="never"/>
        <w:tblW w:w="1289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0"/>
        <w:gridCol w:w="1985"/>
        <w:gridCol w:w="1027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7" w:hRule="atLeast"/>
        </w:trPr>
        <w:tc>
          <w:tcPr>
            <w:tcW w:w="630" w:type="dxa"/>
            <w:textDirection w:val="tbRlV"/>
            <w:vAlign w:val="top"/>
          </w:tcPr>
          <w:p>
            <w:pPr>
              <w:pStyle w:val="8"/>
              <w:spacing w:before="236" w:line="208" w:lineRule="auto"/>
              <w:ind w:left="3319"/>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成 员 单 位</w:t>
            </w:r>
          </w:p>
          <w:p>
            <w:pPr>
              <w:pStyle w:val="8"/>
              <w:spacing w:before="236" w:line="208" w:lineRule="auto"/>
              <w:ind w:left="3332"/>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成 员 单 位</w:t>
            </w:r>
          </w:p>
        </w:tc>
        <w:tc>
          <w:tcPr>
            <w:tcW w:w="1985" w:type="dxa"/>
            <w:shd w:val="clear" w:color="auto" w:fill="auto"/>
            <w:vAlign w:val="top"/>
          </w:tcPr>
          <w:p>
            <w:pPr>
              <w:spacing w:before="154" w:line="224" w:lineRule="auto"/>
              <w:jc w:val="center"/>
              <w:rPr>
                <w:rFonts w:ascii="黑体" w:hAnsi="黑体" w:eastAsia="黑体" w:cs="黑体"/>
                <w:snapToGrid w:val="0"/>
                <w:color w:val="000000"/>
                <w:kern w:val="0"/>
                <w:sz w:val="28"/>
                <w:szCs w:val="28"/>
                <w:lang w:val="en-US" w:eastAsia="en-US" w:bidi="ar-SA"/>
              </w:rPr>
            </w:pPr>
            <w:r>
              <w:rPr>
                <w:rFonts w:ascii="黑体" w:hAnsi="黑体" w:eastAsia="黑体" w:cs="黑体"/>
                <w:spacing w:val="-4"/>
                <w:sz w:val="28"/>
                <w:szCs w:val="28"/>
              </w:rPr>
              <w:t>指挥机构</w:t>
            </w:r>
          </w:p>
        </w:tc>
        <w:tc>
          <w:tcPr>
            <w:tcW w:w="10276" w:type="dxa"/>
            <w:shd w:val="clear" w:color="auto" w:fill="auto"/>
            <w:vAlign w:val="top"/>
          </w:tcPr>
          <w:p>
            <w:pPr>
              <w:spacing w:before="173" w:line="222" w:lineRule="auto"/>
              <w:jc w:val="center"/>
              <w:rPr>
                <w:rFonts w:ascii="黑体" w:hAnsi="黑体" w:eastAsia="黑体" w:cs="黑体"/>
                <w:snapToGrid w:val="0"/>
                <w:color w:val="000000"/>
                <w:kern w:val="0"/>
                <w:sz w:val="28"/>
                <w:szCs w:val="28"/>
                <w:lang w:val="en-US" w:eastAsia="en-US" w:bidi="ar-SA"/>
              </w:rPr>
            </w:pPr>
            <w:r>
              <w:rPr>
                <w:rFonts w:ascii="黑体" w:hAnsi="黑体" w:eastAsia="黑体" w:cs="黑体"/>
                <w:spacing w:val="-5"/>
                <w:sz w:val="28"/>
                <w:szCs w:val="28"/>
              </w:rPr>
              <w:t>职</w:t>
            </w:r>
            <w:r>
              <w:rPr>
                <w:rFonts w:ascii="黑体" w:hAnsi="黑体" w:eastAsia="黑体" w:cs="黑体"/>
                <w:spacing w:val="6"/>
                <w:sz w:val="28"/>
                <w:szCs w:val="28"/>
              </w:rPr>
              <w:t xml:space="preserve">  </w:t>
            </w:r>
            <w:r>
              <w:rPr>
                <w:rFonts w:ascii="黑体" w:hAnsi="黑体" w:eastAsia="黑体" w:cs="黑体"/>
                <w:spacing w:val="-5"/>
                <w:sz w:val="28"/>
                <w:szCs w:val="28"/>
              </w:rPr>
              <w:t>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630" w:type="dxa"/>
            <w:vMerge w:val="restart"/>
            <w:textDirection w:val="tbRlV"/>
            <w:vAlign w:val="top"/>
          </w:tcPr>
          <w:p>
            <w:pPr>
              <w:jc w:val="center"/>
              <w:rPr>
                <w:rFonts w:ascii="仿宋" w:hAnsi="仿宋" w:eastAsia="仿宋" w:cs="仿宋"/>
                <w:snapToGrid w:val="0"/>
                <w:color w:val="000000"/>
                <w:kern w:val="0"/>
                <w:sz w:val="24"/>
                <w:szCs w:val="24"/>
                <w:lang w:val="en-US" w:eastAsia="en-US" w:bidi="ar-SA"/>
              </w:rPr>
            </w:pPr>
          </w:p>
          <w:p>
            <w:pPr>
              <w:jc w:val="center"/>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成 员 单 位</w:t>
            </w:r>
          </w:p>
        </w:tc>
        <w:tc>
          <w:tcPr>
            <w:tcW w:w="1985" w:type="dxa"/>
            <w:shd w:val="clear" w:color="auto" w:fill="auto"/>
            <w:vAlign w:val="top"/>
          </w:tcPr>
          <w:p>
            <w:pPr>
              <w:spacing w:line="417" w:lineRule="auto"/>
              <w:jc w:val="center"/>
              <w:rPr>
                <w:rFonts w:ascii="Arial"/>
                <w:sz w:val="21"/>
              </w:rPr>
            </w:pPr>
          </w:p>
          <w:p>
            <w:pPr>
              <w:pStyle w:val="8"/>
              <w:spacing w:before="78" w:line="217" w:lineRule="auto"/>
              <w:jc w:val="center"/>
              <w:rPr>
                <w:rFonts w:ascii="仿宋" w:hAnsi="仿宋" w:eastAsia="仿宋" w:cs="仿宋"/>
                <w:snapToGrid w:val="0"/>
                <w:color w:val="000000"/>
                <w:kern w:val="0"/>
                <w:sz w:val="24"/>
                <w:szCs w:val="24"/>
                <w:lang w:val="en-US" w:eastAsia="en-US" w:bidi="ar-SA"/>
              </w:rPr>
            </w:pPr>
            <w:r>
              <w:rPr>
                <w:rFonts w:hint="eastAsia"/>
                <w:spacing w:val="-5"/>
                <w:lang w:eastAsia="zh-CN"/>
              </w:rPr>
              <w:t>区</w:t>
            </w:r>
            <w:r>
              <w:rPr>
                <w:spacing w:val="-5"/>
              </w:rPr>
              <w:t>文化和旅游局</w:t>
            </w:r>
          </w:p>
        </w:tc>
        <w:tc>
          <w:tcPr>
            <w:tcW w:w="10276" w:type="dxa"/>
            <w:shd w:val="clear" w:color="auto" w:fill="auto"/>
            <w:vAlign w:val="top"/>
          </w:tcPr>
          <w:p>
            <w:pPr>
              <w:pStyle w:val="8"/>
              <w:spacing w:before="132" w:line="276" w:lineRule="auto"/>
              <w:ind w:left="24" w:leftChars="0" w:firstLine="484" w:firstLineChars="0"/>
              <w:jc w:val="left"/>
              <w:rPr>
                <w:rFonts w:ascii="仿宋" w:hAnsi="仿宋" w:eastAsia="仿宋" w:cs="仿宋"/>
                <w:snapToGrid w:val="0"/>
                <w:color w:val="000000"/>
                <w:kern w:val="0"/>
                <w:sz w:val="24"/>
                <w:szCs w:val="24"/>
                <w:lang w:val="en-US" w:eastAsia="en-US" w:bidi="ar-SA"/>
              </w:rPr>
            </w:pPr>
            <w:r>
              <w:rPr>
                <w:spacing w:val="-3"/>
              </w:rPr>
              <w:t>负责指导景区主管部门对旅游景区内地质灾害进行排查、监测和治理，</w:t>
            </w:r>
            <w:r>
              <w:rPr>
                <w:spacing w:val="-4"/>
              </w:rPr>
              <w:t>负责指导A级旅游景区按照《旅游景区质量等级的划分与划定》标准修复被毁的旅游基础设施和旅游服务设施。</w:t>
            </w:r>
            <w:r>
              <w:rPr>
                <w:spacing w:val="-3"/>
              </w:rPr>
              <w:t>指导发生地质灾害景区游客的疏散安置工作。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0" w:hRule="atLeast"/>
        </w:trPr>
        <w:tc>
          <w:tcPr>
            <w:tcW w:w="630" w:type="dxa"/>
            <w:vMerge w:val="continue"/>
            <w:textDirection w:val="tbRlV"/>
            <w:vAlign w:val="top"/>
          </w:tcPr>
          <w:p>
            <w:pPr>
              <w:rPr>
                <w:rFonts w:ascii="Arial"/>
                <w:sz w:val="21"/>
              </w:rPr>
            </w:pPr>
          </w:p>
        </w:tc>
        <w:tc>
          <w:tcPr>
            <w:tcW w:w="1985" w:type="dxa"/>
            <w:shd w:val="clear" w:color="auto" w:fill="auto"/>
            <w:vAlign w:val="top"/>
          </w:tcPr>
          <w:p>
            <w:pPr>
              <w:spacing w:line="309" w:lineRule="auto"/>
              <w:jc w:val="center"/>
              <w:rPr>
                <w:rFonts w:ascii="Arial"/>
                <w:sz w:val="21"/>
              </w:rPr>
            </w:pPr>
          </w:p>
          <w:p>
            <w:pPr>
              <w:spacing w:line="309" w:lineRule="auto"/>
              <w:jc w:val="center"/>
              <w:rPr>
                <w:rFonts w:ascii="Arial"/>
                <w:sz w:val="21"/>
              </w:rPr>
            </w:pPr>
          </w:p>
          <w:p>
            <w:pPr>
              <w:pStyle w:val="8"/>
              <w:spacing w:before="78" w:line="217" w:lineRule="auto"/>
              <w:jc w:val="center"/>
              <w:rPr>
                <w:rFonts w:ascii="宋体" w:hAnsi="宋体" w:eastAsia="宋体" w:cs="宋体"/>
                <w:snapToGrid w:val="0"/>
                <w:color w:val="000000"/>
                <w:kern w:val="0"/>
                <w:sz w:val="24"/>
                <w:szCs w:val="24"/>
                <w:lang w:val="en-US" w:eastAsia="en-US" w:bidi="ar-SA"/>
              </w:rPr>
            </w:pPr>
            <w:r>
              <w:rPr>
                <w:rFonts w:hint="eastAsia"/>
                <w:spacing w:val="-4"/>
                <w:lang w:eastAsia="zh-CN"/>
              </w:rPr>
              <w:t>区</w:t>
            </w:r>
            <w:r>
              <w:rPr>
                <w:rFonts w:hint="eastAsia"/>
                <w:spacing w:val="-4"/>
                <w:lang w:val="en-US" w:eastAsia="zh-CN"/>
              </w:rPr>
              <w:t>卫体局</w:t>
            </w:r>
          </w:p>
        </w:tc>
        <w:tc>
          <w:tcPr>
            <w:tcW w:w="10276" w:type="dxa"/>
            <w:shd w:val="clear" w:color="auto" w:fill="auto"/>
            <w:vAlign w:val="top"/>
          </w:tcPr>
          <w:p>
            <w:pPr>
              <w:pStyle w:val="8"/>
              <w:spacing w:before="132" w:line="284" w:lineRule="auto"/>
              <w:ind w:left="24" w:leftChars="0" w:right="10" w:rightChars="0" w:firstLine="484" w:firstLineChars="0"/>
              <w:jc w:val="left"/>
              <w:rPr>
                <w:rFonts w:ascii="仿宋" w:hAnsi="仿宋" w:eastAsia="仿宋" w:cs="仿宋"/>
                <w:snapToGrid w:val="0"/>
                <w:color w:val="000000"/>
                <w:kern w:val="0"/>
                <w:sz w:val="24"/>
                <w:szCs w:val="24"/>
                <w:lang w:val="en-US" w:eastAsia="en-US" w:bidi="ar-SA"/>
              </w:rPr>
            </w:pPr>
            <w:r>
              <w:rPr>
                <w:spacing w:val="-4"/>
              </w:rPr>
              <w:t>负责组织协调医疗卫生部门开展灾区伤员医疗救治，为灾区群众提供</w:t>
            </w:r>
            <w:r>
              <w:rPr>
                <w:spacing w:val="-5"/>
              </w:rPr>
              <w:t>医疗保障和精神、心</w:t>
            </w:r>
            <w:r>
              <w:rPr>
                <w:spacing w:val="-4"/>
              </w:rPr>
              <w:t>理、卫生健康咨询服务；开展突发公共卫生事件监测和预警，落实疾病预防控制措施，预防和控制传染病</w:t>
            </w:r>
            <w:r>
              <w:rPr>
                <w:rFonts w:hint="eastAsia"/>
                <w:spacing w:val="-4"/>
                <w:lang w:eastAsia="zh-CN"/>
              </w:rPr>
              <w:t>暴发</w:t>
            </w:r>
            <w:r>
              <w:rPr>
                <w:spacing w:val="-4"/>
              </w:rPr>
              <w:t>流行；组织开展食品安全风险监测、组织开展饮用水卫生监督、监测以及环境</w:t>
            </w:r>
            <w:r>
              <w:rPr>
                <w:spacing w:val="1"/>
              </w:rPr>
              <w:t xml:space="preserve"> </w:t>
            </w:r>
            <w:r>
              <w:rPr>
                <w:spacing w:val="-3"/>
              </w:rPr>
              <w:t>卫生、职业卫生等执法监督检查。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trPr>
        <w:tc>
          <w:tcPr>
            <w:tcW w:w="630" w:type="dxa"/>
            <w:vMerge w:val="continue"/>
            <w:textDirection w:val="tbRlV"/>
            <w:vAlign w:val="top"/>
          </w:tcPr>
          <w:p>
            <w:pPr>
              <w:rPr>
                <w:rFonts w:ascii="Arial"/>
                <w:sz w:val="21"/>
              </w:rPr>
            </w:pPr>
          </w:p>
        </w:tc>
        <w:tc>
          <w:tcPr>
            <w:tcW w:w="1985" w:type="dxa"/>
            <w:shd w:val="clear" w:color="auto" w:fill="auto"/>
            <w:vAlign w:val="top"/>
          </w:tcPr>
          <w:p>
            <w:pPr>
              <w:pStyle w:val="8"/>
              <w:spacing w:before="300" w:line="216" w:lineRule="auto"/>
              <w:jc w:val="center"/>
              <w:rPr>
                <w:rFonts w:hint="eastAsia" w:ascii="仿宋" w:hAnsi="仿宋" w:eastAsia="仿宋" w:cs="仿宋"/>
                <w:snapToGrid w:val="0"/>
                <w:color w:val="000000"/>
                <w:kern w:val="0"/>
                <w:sz w:val="24"/>
                <w:szCs w:val="24"/>
                <w:lang w:val="en-US" w:eastAsia="zh-CN" w:bidi="ar-SA"/>
              </w:rPr>
            </w:pPr>
            <w:r>
              <w:rPr>
                <w:rFonts w:hint="eastAsia"/>
                <w:spacing w:val="-7"/>
                <w:lang w:eastAsia="zh-CN"/>
              </w:rPr>
              <w:t>区</w:t>
            </w:r>
            <w:r>
              <w:rPr>
                <w:spacing w:val="-7"/>
              </w:rPr>
              <w:t>能源局</w:t>
            </w:r>
          </w:p>
        </w:tc>
        <w:tc>
          <w:tcPr>
            <w:tcW w:w="10276" w:type="dxa"/>
            <w:shd w:val="clear" w:color="auto" w:fill="auto"/>
            <w:vAlign w:val="top"/>
          </w:tcPr>
          <w:p>
            <w:pPr>
              <w:pStyle w:val="8"/>
              <w:spacing w:before="133" w:line="260" w:lineRule="auto"/>
              <w:ind w:left="23" w:leftChars="0" w:right="13" w:rightChars="0" w:firstLine="485" w:firstLineChars="0"/>
              <w:jc w:val="left"/>
              <w:rPr>
                <w:rFonts w:ascii="仿宋" w:hAnsi="仿宋" w:eastAsia="仿宋" w:cs="仿宋"/>
                <w:snapToGrid w:val="0"/>
                <w:color w:val="000000"/>
                <w:kern w:val="0"/>
                <w:sz w:val="24"/>
                <w:szCs w:val="24"/>
                <w:lang w:val="en-US" w:eastAsia="en-US" w:bidi="ar-SA"/>
              </w:rPr>
            </w:pPr>
            <w:r>
              <w:rPr>
                <w:spacing w:val="2"/>
              </w:rPr>
              <w:t>负责指导和督促受灾能源企业做好对所属区域及影响范围内危及企业自身安全和</w:t>
            </w:r>
            <w:r>
              <w:rPr>
                <w:spacing w:val="1"/>
              </w:rPr>
              <w:t>威胁群</w:t>
            </w:r>
            <w:r>
              <w:rPr>
                <w:spacing w:val="-3"/>
              </w:rPr>
              <w:t>众生命财产安全的地质灾害应急防范和抢险救援工作。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9" w:hRule="atLeast"/>
        </w:trPr>
        <w:tc>
          <w:tcPr>
            <w:tcW w:w="630" w:type="dxa"/>
            <w:vMerge w:val="continue"/>
            <w:textDirection w:val="tbRlV"/>
            <w:vAlign w:val="top"/>
          </w:tcPr>
          <w:p>
            <w:pPr>
              <w:rPr>
                <w:rFonts w:ascii="Arial"/>
                <w:sz w:val="21"/>
              </w:rPr>
            </w:pPr>
          </w:p>
        </w:tc>
        <w:tc>
          <w:tcPr>
            <w:tcW w:w="1985" w:type="dxa"/>
            <w:tcBorders>
              <w:bottom w:val="single" w:color="auto" w:sz="4" w:space="0"/>
            </w:tcBorders>
            <w:shd w:val="clear" w:color="auto" w:fill="auto"/>
            <w:vAlign w:val="top"/>
          </w:tcPr>
          <w:p>
            <w:pPr>
              <w:spacing w:line="357" w:lineRule="auto"/>
              <w:jc w:val="center"/>
              <w:rPr>
                <w:rFonts w:ascii="Arial"/>
                <w:sz w:val="21"/>
              </w:rPr>
            </w:pPr>
          </w:p>
          <w:p>
            <w:pPr>
              <w:pStyle w:val="8"/>
              <w:spacing w:before="78" w:line="217" w:lineRule="auto"/>
              <w:jc w:val="center"/>
              <w:rPr>
                <w:rFonts w:hint="eastAsia" w:ascii="仿宋" w:hAnsi="仿宋" w:eastAsia="仿宋" w:cs="仿宋"/>
                <w:snapToGrid w:val="0"/>
                <w:color w:val="000000"/>
                <w:kern w:val="0"/>
                <w:sz w:val="24"/>
                <w:szCs w:val="24"/>
                <w:lang w:val="en-US" w:eastAsia="zh-CN" w:bidi="ar-SA"/>
              </w:rPr>
            </w:pPr>
            <w:r>
              <w:rPr>
                <w:rFonts w:hint="eastAsia"/>
                <w:spacing w:val="-7"/>
                <w:lang w:eastAsia="zh-CN"/>
              </w:rPr>
              <w:t>区</w:t>
            </w:r>
            <w:r>
              <w:rPr>
                <w:spacing w:val="-7"/>
              </w:rPr>
              <w:t>气象局</w:t>
            </w:r>
          </w:p>
        </w:tc>
        <w:tc>
          <w:tcPr>
            <w:tcW w:w="10276" w:type="dxa"/>
            <w:tcBorders>
              <w:bottom w:val="single" w:color="auto" w:sz="4" w:space="0"/>
            </w:tcBorders>
            <w:shd w:val="clear" w:color="auto" w:fill="auto"/>
            <w:vAlign w:val="top"/>
          </w:tcPr>
          <w:p>
            <w:pPr>
              <w:pStyle w:val="8"/>
              <w:spacing w:before="94" w:line="255" w:lineRule="auto"/>
              <w:ind w:left="20" w:leftChars="0" w:firstLine="485" w:firstLineChars="0"/>
              <w:jc w:val="left"/>
              <w:rPr>
                <w:rFonts w:ascii="仿宋" w:hAnsi="仿宋" w:eastAsia="仿宋" w:cs="仿宋"/>
                <w:snapToGrid w:val="0"/>
                <w:color w:val="000000"/>
                <w:kern w:val="0"/>
                <w:sz w:val="24"/>
                <w:szCs w:val="24"/>
                <w:lang w:val="en-US" w:eastAsia="en-US" w:bidi="ar-SA"/>
              </w:rPr>
            </w:pPr>
            <w:r>
              <w:rPr>
                <w:spacing w:val="-3"/>
              </w:rPr>
              <w:t>负责提供地质灾害发生地区所需的气象资料信息、天气预</w:t>
            </w:r>
            <w:r>
              <w:rPr>
                <w:spacing w:val="-4"/>
              </w:rPr>
              <w:t>报和气象灾害预报、预警信息，对事</w:t>
            </w:r>
            <w:r>
              <w:t xml:space="preserve"> </w:t>
            </w:r>
            <w:r>
              <w:rPr>
                <w:spacing w:val="-7"/>
              </w:rPr>
              <w:t>发地的天气开展气象要素实时监测，同时</w:t>
            </w:r>
            <w:r>
              <w:rPr>
                <w:rFonts w:hint="eastAsia"/>
                <w:spacing w:val="-7"/>
                <w:lang w:val="en-US" w:eastAsia="zh-CN"/>
              </w:rPr>
              <w:t>与</w:t>
            </w:r>
            <w:r>
              <w:rPr>
                <w:spacing w:val="-7"/>
              </w:rPr>
              <w:t>自然资源</w:t>
            </w:r>
            <w:r>
              <w:rPr>
                <w:rFonts w:hint="eastAsia"/>
                <w:spacing w:val="-7"/>
                <w:lang w:val="en-US" w:eastAsia="zh-CN"/>
              </w:rPr>
              <w:t>局</w:t>
            </w:r>
            <w:r>
              <w:rPr>
                <w:spacing w:val="-7"/>
              </w:rPr>
              <w:t>联合制作发布地质灾害气象风险</w:t>
            </w:r>
            <w:r>
              <w:rPr>
                <w:spacing w:val="-8"/>
              </w:rPr>
              <w:t>预警，</w:t>
            </w:r>
            <w:r>
              <w:rPr>
                <w:spacing w:val="-4"/>
              </w:rPr>
              <w:t>为地质灾害的救援处置提供气象保障。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9" w:hRule="atLeast"/>
        </w:trPr>
        <w:tc>
          <w:tcPr>
            <w:tcW w:w="630" w:type="dxa"/>
            <w:vMerge w:val="continue"/>
            <w:textDirection w:val="tbRlV"/>
            <w:vAlign w:val="top"/>
          </w:tcPr>
          <w:p>
            <w:pPr>
              <w:pStyle w:val="8"/>
              <w:spacing w:before="236" w:line="208" w:lineRule="auto"/>
              <w:ind w:left="3332"/>
            </w:pPr>
          </w:p>
        </w:tc>
        <w:tc>
          <w:tcPr>
            <w:tcW w:w="1985" w:type="dxa"/>
            <w:tcBorders>
              <w:top w:val="single" w:color="auto" w:sz="4" w:space="0"/>
              <w:left w:val="single" w:color="auto" w:sz="4" w:space="0"/>
              <w:bottom w:val="single" w:color="auto" w:sz="4" w:space="0"/>
              <w:right w:val="single" w:color="auto" w:sz="4" w:space="0"/>
            </w:tcBorders>
            <w:shd w:val="clear" w:color="auto" w:fill="auto"/>
            <w:vAlign w:val="top"/>
          </w:tcPr>
          <w:p>
            <w:pPr>
              <w:spacing w:line="356" w:lineRule="auto"/>
              <w:jc w:val="center"/>
              <w:rPr>
                <w:rFonts w:ascii="Arial"/>
                <w:sz w:val="21"/>
              </w:rPr>
            </w:pPr>
          </w:p>
          <w:p>
            <w:pPr>
              <w:pStyle w:val="8"/>
              <w:spacing w:before="78" w:line="220" w:lineRule="auto"/>
              <w:jc w:val="center"/>
              <w:rPr>
                <w:rFonts w:ascii="仿宋" w:hAnsi="仿宋" w:eastAsia="仿宋" w:cs="仿宋"/>
                <w:snapToGrid w:val="0"/>
                <w:color w:val="000000"/>
                <w:kern w:val="0"/>
                <w:sz w:val="24"/>
                <w:szCs w:val="24"/>
                <w:lang w:val="en-US" w:eastAsia="en-US" w:bidi="ar-SA"/>
              </w:rPr>
            </w:pPr>
            <w:r>
              <w:rPr>
                <w:spacing w:val="-5"/>
              </w:rPr>
              <w:t>武警</w:t>
            </w:r>
            <w:r>
              <w:rPr>
                <w:rFonts w:hint="eastAsia"/>
                <w:spacing w:val="-5"/>
                <w:lang w:val="en-US" w:eastAsia="zh-CN"/>
              </w:rPr>
              <w:t>屯留中</w:t>
            </w:r>
            <w:r>
              <w:rPr>
                <w:spacing w:val="-5"/>
              </w:rPr>
              <w:t>队</w:t>
            </w:r>
          </w:p>
        </w:tc>
        <w:tc>
          <w:tcPr>
            <w:tcW w:w="10276" w:type="dxa"/>
            <w:tcBorders>
              <w:top w:val="single" w:color="auto" w:sz="4" w:space="0"/>
              <w:left w:val="single" w:color="auto" w:sz="4" w:space="0"/>
              <w:bottom w:val="single" w:color="auto" w:sz="4" w:space="0"/>
              <w:right w:val="single" w:color="auto" w:sz="4" w:space="0"/>
            </w:tcBorders>
            <w:shd w:val="clear" w:color="auto" w:fill="auto"/>
            <w:vAlign w:val="top"/>
          </w:tcPr>
          <w:p>
            <w:pPr>
              <w:pStyle w:val="8"/>
              <w:spacing w:before="102" w:line="253" w:lineRule="auto"/>
              <w:ind w:left="20" w:leftChars="0" w:right="11" w:rightChars="0" w:firstLine="479" w:firstLineChars="0"/>
              <w:jc w:val="left"/>
              <w:rPr>
                <w:rFonts w:ascii="仿宋" w:hAnsi="仿宋" w:eastAsia="仿宋" w:cs="仿宋"/>
                <w:snapToGrid w:val="0"/>
                <w:color w:val="000000"/>
                <w:kern w:val="0"/>
                <w:sz w:val="24"/>
                <w:szCs w:val="24"/>
                <w:lang w:val="en-US" w:eastAsia="en-US" w:bidi="ar-SA"/>
              </w:rPr>
            </w:pPr>
            <w:r>
              <w:rPr>
                <w:spacing w:val="-2"/>
              </w:rPr>
              <w:t>在</w:t>
            </w:r>
            <w:r>
              <w:rPr>
                <w:rFonts w:hint="eastAsia"/>
                <w:spacing w:val="-2"/>
                <w:lang w:eastAsia="zh-CN"/>
              </w:rPr>
              <w:t>区</w:t>
            </w:r>
            <w:r>
              <w:rPr>
                <w:spacing w:val="-2"/>
              </w:rPr>
              <w:t>指挥部统一领导下，指挥所属部队参与抢险救灾、营救群众、转移运送物资等工作；配合</w:t>
            </w:r>
            <w:r>
              <w:rPr>
                <w:spacing w:val="1"/>
              </w:rPr>
              <w:t xml:space="preserve"> </w:t>
            </w:r>
            <w:r>
              <w:rPr>
                <w:spacing w:val="-2"/>
              </w:rPr>
              <w:t>公安机关维护当地社会秩序，保卫重要目标；同时按照《军队参加抢险救灾条例》规定，参与地质</w:t>
            </w:r>
            <w:r>
              <w:rPr>
                <w:spacing w:val="4"/>
              </w:rPr>
              <w:t xml:space="preserve"> </w:t>
            </w:r>
            <w:r>
              <w:rPr>
                <w:spacing w:val="-3"/>
              </w:rPr>
              <w:t>灾害抢险救灾相关工作。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9" w:hRule="atLeast"/>
        </w:trPr>
        <w:tc>
          <w:tcPr>
            <w:tcW w:w="630" w:type="dxa"/>
            <w:vMerge w:val="continue"/>
            <w:textDirection w:val="tbRlV"/>
            <w:vAlign w:val="top"/>
          </w:tcPr>
          <w:p>
            <w:pPr>
              <w:rPr>
                <w:rFonts w:ascii="Arial"/>
                <w:sz w:val="21"/>
              </w:rPr>
            </w:pPr>
          </w:p>
        </w:tc>
        <w:tc>
          <w:tcPr>
            <w:tcW w:w="1985" w:type="dxa"/>
            <w:tcBorders>
              <w:top w:val="single" w:color="auto" w:sz="4" w:space="0"/>
              <w:left w:val="single" w:color="auto" w:sz="4" w:space="0"/>
              <w:bottom w:val="single" w:color="auto" w:sz="4" w:space="0"/>
              <w:right w:val="single" w:color="auto" w:sz="4" w:space="0"/>
            </w:tcBorders>
            <w:shd w:val="clear" w:color="auto" w:fill="auto"/>
            <w:vAlign w:val="top"/>
          </w:tcPr>
          <w:p>
            <w:pPr>
              <w:pStyle w:val="8"/>
              <w:spacing w:before="169" w:line="216" w:lineRule="auto"/>
              <w:jc w:val="center"/>
              <w:rPr>
                <w:rFonts w:ascii="仿宋" w:hAnsi="仿宋" w:eastAsia="仿宋" w:cs="仿宋"/>
                <w:snapToGrid w:val="0"/>
                <w:color w:val="000000"/>
                <w:kern w:val="0"/>
                <w:sz w:val="24"/>
                <w:szCs w:val="24"/>
                <w:lang w:val="en-US" w:eastAsia="en-US" w:bidi="ar-SA"/>
              </w:rPr>
            </w:pPr>
            <w:r>
              <w:rPr>
                <w:rFonts w:hint="eastAsia"/>
                <w:spacing w:val="-5"/>
                <w:lang w:eastAsia="zh-CN"/>
              </w:rPr>
              <w:t>区</w:t>
            </w:r>
            <w:r>
              <w:rPr>
                <w:spacing w:val="-5"/>
              </w:rPr>
              <w:t>消防救援</w:t>
            </w:r>
            <w:r>
              <w:rPr>
                <w:rFonts w:hint="eastAsia"/>
                <w:spacing w:val="-5"/>
                <w:lang w:val="en-US" w:eastAsia="zh-CN"/>
              </w:rPr>
              <w:t>大</w:t>
            </w:r>
            <w:r>
              <w:rPr>
                <w:spacing w:val="-5"/>
              </w:rPr>
              <w:t>队</w:t>
            </w:r>
          </w:p>
        </w:tc>
        <w:tc>
          <w:tcPr>
            <w:tcW w:w="10276" w:type="dxa"/>
            <w:tcBorders>
              <w:top w:val="single" w:color="auto" w:sz="4" w:space="0"/>
              <w:left w:val="single" w:color="auto" w:sz="4" w:space="0"/>
              <w:bottom w:val="single" w:color="auto" w:sz="4" w:space="0"/>
              <w:right w:val="single" w:color="auto" w:sz="4" w:space="0"/>
            </w:tcBorders>
            <w:shd w:val="clear" w:color="auto" w:fill="auto"/>
            <w:vAlign w:val="top"/>
          </w:tcPr>
          <w:p>
            <w:pPr>
              <w:pStyle w:val="8"/>
              <w:spacing w:before="191" w:line="216" w:lineRule="auto"/>
              <w:ind w:left="508" w:leftChars="0"/>
              <w:jc w:val="left"/>
              <w:rPr>
                <w:rFonts w:ascii="仿宋" w:hAnsi="仿宋" w:eastAsia="仿宋" w:cs="仿宋"/>
                <w:snapToGrid w:val="0"/>
                <w:color w:val="000000"/>
                <w:kern w:val="0"/>
                <w:sz w:val="24"/>
                <w:szCs w:val="24"/>
                <w:lang w:val="en-US" w:eastAsia="en-US" w:bidi="ar-SA"/>
              </w:rPr>
            </w:pPr>
            <w:r>
              <w:rPr>
                <w:spacing w:val="-3"/>
              </w:rPr>
              <w:t>负责调集消防救援队伍参加抢险救援。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trPr>
        <w:tc>
          <w:tcPr>
            <w:tcW w:w="630" w:type="dxa"/>
            <w:vMerge w:val="continue"/>
            <w:textDirection w:val="tbRlV"/>
            <w:vAlign w:val="top"/>
          </w:tcPr>
          <w:p>
            <w:pPr>
              <w:rPr>
                <w:rFonts w:ascii="Arial"/>
                <w:sz w:val="21"/>
              </w:rPr>
            </w:pPr>
          </w:p>
        </w:tc>
        <w:tc>
          <w:tcPr>
            <w:tcW w:w="1985" w:type="dxa"/>
            <w:tcBorders>
              <w:top w:val="single" w:color="auto" w:sz="4" w:space="0"/>
              <w:left w:val="single" w:color="auto" w:sz="4" w:space="0"/>
              <w:bottom w:val="single" w:color="auto" w:sz="4" w:space="0"/>
              <w:right w:val="single" w:color="auto" w:sz="4" w:space="0"/>
            </w:tcBorders>
            <w:shd w:val="clear" w:color="auto" w:fill="auto"/>
            <w:vAlign w:val="top"/>
          </w:tcPr>
          <w:p>
            <w:pPr>
              <w:pStyle w:val="8"/>
              <w:spacing w:before="169" w:line="216" w:lineRule="auto"/>
              <w:jc w:val="center"/>
              <w:rPr>
                <w:rFonts w:hint="eastAsia"/>
                <w:spacing w:val="-5"/>
                <w:lang w:val="en-US" w:eastAsia="zh-CN"/>
              </w:rPr>
            </w:pPr>
            <w:r>
              <w:rPr>
                <w:rFonts w:hint="eastAsia"/>
                <w:spacing w:val="-5"/>
                <w:lang w:eastAsia="zh-CN"/>
              </w:rPr>
              <w:t>区</w:t>
            </w:r>
            <w:r>
              <w:rPr>
                <w:rFonts w:hint="eastAsia"/>
                <w:spacing w:val="-5"/>
                <w:lang w:val="en-US" w:eastAsia="zh-CN"/>
              </w:rPr>
              <w:t>国网屯留</w:t>
            </w:r>
          </w:p>
          <w:p>
            <w:pPr>
              <w:pStyle w:val="8"/>
              <w:spacing w:before="169" w:line="216" w:lineRule="auto"/>
              <w:jc w:val="center"/>
              <w:rPr>
                <w:rFonts w:ascii="仿宋" w:hAnsi="仿宋" w:eastAsia="仿宋" w:cs="仿宋"/>
                <w:snapToGrid w:val="0"/>
                <w:color w:val="000000"/>
                <w:kern w:val="0"/>
                <w:sz w:val="24"/>
                <w:szCs w:val="24"/>
                <w:lang w:val="en-US" w:eastAsia="en-US" w:bidi="ar-SA"/>
              </w:rPr>
            </w:pPr>
            <w:r>
              <w:rPr>
                <w:spacing w:val="-5"/>
              </w:rPr>
              <w:t>供电公司</w:t>
            </w:r>
          </w:p>
        </w:tc>
        <w:tc>
          <w:tcPr>
            <w:tcW w:w="10276" w:type="dxa"/>
            <w:tcBorders>
              <w:top w:val="single" w:color="auto" w:sz="4" w:space="0"/>
              <w:left w:val="single" w:color="auto" w:sz="4" w:space="0"/>
              <w:bottom w:val="single" w:color="auto" w:sz="4" w:space="0"/>
              <w:right w:val="single" w:color="auto" w:sz="4" w:space="0"/>
            </w:tcBorders>
            <w:shd w:val="clear" w:color="auto" w:fill="auto"/>
            <w:vAlign w:val="top"/>
          </w:tcPr>
          <w:p>
            <w:pPr>
              <w:pStyle w:val="8"/>
              <w:spacing w:before="103" w:line="241" w:lineRule="auto"/>
              <w:ind w:left="39" w:leftChars="0" w:right="13" w:rightChars="0" w:firstLine="453" w:firstLineChars="0"/>
              <w:jc w:val="left"/>
              <w:rPr>
                <w:rFonts w:ascii="仿宋" w:hAnsi="仿宋" w:eastAsia="仿宋" w:cs="仿宋"/>
                <w:snapToGrid w:val="0"/>
                <w:color w:val="000000"/>
                <w:kern w:val="0"/>
                <w:sz w:val="24"/>
                <w:szCs w:val="24"/>
                <w:lang w:val="en-US" w:eastAsia="en-US" w:bidi="ar-SA"/>
              </w:rPr>
            </w:pPr>
            <w:r>
              <w:rPr>
                <w:spacing w:val="-2"/>
              </w:rPr>
              <w:t>根据供用电协议中产权划分界限，负责辖区内受灾地区损毁供电设备和设施的修复工作，确保</w:t>
            </w:r>
            <w:r>
              <w:rPr>
                <w:spacing w:val="4"/>
              </w:rPr>
              <w:t xml:space="preserve"> </w:t>
            </w:r>
            <w:r>
              <w:rPr>
                <w:spacing w:val="-4"/>
              </w:rPr>
              <w:t>灾区地质灾害应急指挥和受灾群众正常用电。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trPr>
        <w:tc>
          <w:tcPr>
            <w:tcW w:w="630" w:type="dxa"/>
            <w:vMerge w:val="continue"/>
            <w:tcBorders>
              <w:bottom w:val="single" w:color="auto" w:sz="4" w:space="0"/>
            </w:tcBorders>
            <w:textDirection w:val="tbRlV"/>
            <w:vAlign w:val="top"/>
          </w:tcPr>
          <w:p>
            <w:pPr>
              <w:rPr>
                <w:rFonts w:ascii="Arial"/>
                <w:sz w:val="21"/>
              </w:rPr>
            </w:pPr>
          </w:p>
        </w:tc>
        <w:tc>
          <w:tcPr>
            <w:tcW w:w="1985" w:type="dxa"/>
            <w:tcBorders>
              <w:top w:val="single" w:color="auto" w:sz="4" w:space="0"/>
              <w:left w:val="single" w:color="auto" w:sz="4" w:space="0"/>
              <w:bottom w:val="single" w:color="auto" w:sz="4" w:space="0"/>
              <w:right w:val="single" w:color="auto" w:sz="4" w:space="0"/>
            </w:tcBorders>
            <w:shd w:val="clear" w:color="auto" w:fill="auto"/>
            <w:vAlign w:val="top"/>
          </w:tcPr>
          <w:p>
            <w:pPr>
              <w:pStyle w:val="8"/>
              <w:spacing w:before="63" w:line="219" w:lineRule="auto"/>
              <w:ind w:left="583" w:leftChars="0" w:right="12" w:rightChars="0" w:hanging="558" w:firstLineChars="0"/>
              <w:jc w:val="center"/>
              <w:rPr>
                <w:spacing w:val="-14"/>
              </w:rPr>
            </w:pPr>
            <w:r>
              <w:rPr>
                <w:rFonts w:hint="eastAsia"/>
                <w:spacing w:val="-14"/>
                <w:lang w:val="en-US" w:eastAsia="zh-CN"/>
              </w:rPr>
              <w:t>区</w:t>
            </w:r>
            <w:r>
              <w:rPr>
                <w:spacing w:val="-14"/>
              </w:rPr>
              <w:t>移动、联通、</w:t>
            </w:r>
          </w:p>
          <w:p>
            <w:pPr>
              <w:pStyle w:val="8"/>
              <w:spacing w:before="63" w:line="219" w:lineRule="auto"/>
              <w:ind w:left="583" w:leftChars="0" w:right="12" w:rightChars="0" w:hanging="558" w:firstLineChars="0"/>
              <w:jc w:val="center"/>
              <w:rPr>
                <w:rFonts w:hint="eastAsia" w:ascii="仿宋" w:hAnsi="仿宋" w:eastAsia="仿宋" w:cs="仿宋"/>
                <w:snapToGrid w:val="0"/>
                <w:color w:val="000000"/>
                <w:kern w:val="0"/>
                <w:sz w:val="24"/>
                <w:szCs w:val="24"/>
                <w:lang w:val="en-US" w:eastAsia="zh-CN" w:bidi="ar-SA"/>
              </w:rPr>
            </w:pPr>
            <w:r>
              <w:rPr>
                <w:spacing w:val="-14"/>
              </w:rPr>
              <w:t>电信</w:t>
            </w:r>
            <w:r>
              <w:rPr>
                <w:spacing w:val="-7"/>
              </w:rPr>
              <w:t>公司</w:t>
            </w:r>
          </w:p>
        </w:tc>
        <w:tc>
          <w:tcPr>
            <w:tcW w:w="10276" w:type="dxa"/>
            <w:tcBorders>
              <w:top w:val="single" w:color="auto" w:sz="4" w:space="0"/>
              <w:left w:val="single" w:color="auto" w:sz="4" w:space="0"/>
              <w:bottom w:val="single" w:color="auto" w:sz="4" w:space="0"/>
              <w:right w:val="single" w:color="auto" w:sz="4" w:space="0"/>
            </w:tcBorders>
            <w:shd w:val="clear" w:color="auto" w:fill="auto"/>
            <w:vAlign w:val="top"/>
          </w:tcPr>
          <w:p>
            <w:pPr>
              <w:pStyle w:val="8"/>
              <w:spacing w:before="235" w:line="215" w:lineRule="auto"/>
              <w:ind w:left="508" w:leftChars="0"/>
              <w:jc w:val="left"/>
              <w:rPr>
                <w:rFonts w:ascii="仿宋" w:hAnsi="仿宋" w:eastAsia="仿宋" w:cs="仿宋"/>
                <w:snapToGrid w:val="0"/>
                <w:color w:val="000000"/>
                <w:kern w:val="0"/>
                <w:sz w:val="24"/>
                <w:szCs w:val="24"/>
                <w:lang w:val="en-US" w:eastAsia="en-US" w:bidi="ar-SA"/>
              </w:rPr>
            </w:pPr>
            <w:r>
              <w:rPr>
                <w:spacing w:val="-3"/>
              </w:rPr>
              <w:t>负责做好通信应急保障工作，负责恢复损坏的通信设施。</w:t>
            </w:r>
          </w:p>
        </w:tc>
      </w:tr>
    </w:tbl>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pStyle w:val="6"/>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line="304" w:lineRule="auto"/>
        <w:rPr>
          <w:rFonts w:ascii="Arial"/>
          <w:sz w:val="21"/>
        </w:rPr>
      </w:pPr>
      <w:r>
        <w:drawing>
          <wp:anchor distT="0" distB="0" distL="0" distR="0" simplePos="0" relativeHeight="251664384" behindDoc="0" locked="0" layoutInCell="1" allowOverlap="1">
            <wp:simplePos x="0" y="0"/>
            <wp:positionH relativeFrom="column">
              <wp:posOffset>79375</wp:posOffset>
            </wp:positionH>
            <wp:positionV relativeFrom="paragraph">
              <wp:posOffset>236855</wp:posOffset>
            </wp:positionV>
            <wp:extent cx="7620" cy="178435"/>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10"/>
                    <a:stretch>
                      <a:fillRect/>
                    </a:stretch>
                  </pic:blipFill>
                  <pic:spPr>
                    <a:xfrm>
                      <a:off x="0" y="0"/>
                      <a:ext cx="7672" cy="178434"/>
                    </a:xfrm>
                    <a:prstGeom prst="rect">
                      <a:avLst/>
                    </a:prstGeom>
                  </pic:spPr>
                </pic:pic>
              </a:graphicData>
            </a:graphic>
          </wp:anchor>
        </w:drawing>
      </w:r>
    </w:p>
    <w:p>
      <w:pPr>
        <w:spacing w:before="100" w:line="230" w:lineRule="auto"/>
        <w:ind w:left="900"/>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75"/>
          <w:sz w:val="31"/>
          <w:szCs w:val="31"/>
        </w:rPr>
        <w:t xml:space="preserve"> </w:t>
      </w:r>
      <w:r>
        <w:rPr>
          <w:rFonts w:ascii="黑体" w:hAnsi="黑体" w:eastAsia="黑体" w:cs="黑体"/>
          <w:spacing w:val="-4"/>
          <w:sz w:val="31"/>
          <w:szCs w:val="31"/>
        </w:rPr>
        <w:t>4</w:t>
      </w:r>
    </w:p>
    <w:p>
      <w:pPr>
        <w:spacing w:line="250" w:lineRule="auto"/>
        <w:rPr>
          <w:rFonts w:ascii="Arial"/>
          <w:sz w:val="21"/>
        </w:rPr>
      </w:pPr>
    </w:p>
    <w:p>
      <w:pPr>
        <w:spacing w:before="140" w:line="604" w:lineRule="exact"/>
        <w:ind w:left="3949"/>
        <w:rPr>
          <w:rFonts w:ascii="宋体" w:hAnsi="宋体" w:eastAsia="宋体" w:cs="宋体"/>
          <w:sz w:val="43"/>
          <w:szCs w:val="43"/>
        </w:rPr>
      </w:pPr>
      <w:r>
        <w:rPr>
          <w:rFonts w:ascii="宋体" w:hAnsi="宋体" w:eastAsia="宋体" w:cs="宋体"/>
          <w:b/>
          <w:bCs/>
          <w:spacing w:val="3"/>
          <w:position w:val="3"/>
          <w:sz w:val="43"/>
          <w:szCs w:val="43"/>
        </w:rPr>
        <w:t>地质灾害气象风险预警级别及预警措施</w:t>
      </w:r>
    </w:p>
    <w:p>
      <w:pPr>
        <w:spacing w:before="6"/>
      </w:pPr>
    </w:p>
    <w:tbl>
      <w:tblPr>
        <w:tblStyle w:val="7"/>
        <w:tblW w:w="12899" w:type="dxa"/>
        <w:tblInd w:w="8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48"/>
        <w:gridCol w:w="2535"/>
        <w:gridCol w:w="2760"/>
        <w:gridCol w:w="2822"/>
        <w:gridCol w:w="33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2" w:hRule="atLeast"/>
        </w:trPr>
        <w:tc>
          <w:tcPr>
            <w:tcW w:w="1448" w:type="dxa"/>
            <w:vAlign w:val="top"/>
          </w:tcPr>
          <w:p>
            <w:pPr>
              <w:spacing w:line="274" w:lineRule="auto"/>
              <w:rPr>
                <w:rFonts w:ascii="Arial"/>
                <w:sz w:val="21"/>
              </w:rPr>
            </w:pPr>
          </w:p>
          <w:p>
            <w:pPr>
              <w:pStyle w:val="8"/>
              <w:spacing w:before="91" w:line="221" w:lineRule="auto"/>
              <w:ind w:left="465"/>
              <w:rPr>
                <w:sz w:val="28"/>
                <w:szCs w:val="28"/>
              </w:rPr>
            </w:pPr>
            <w:r>
              <w:rPr>
                <w:spacing w:val="-11"/>
                <w:sz w:val="28"/>
                <w:szCs w:val="28"/>
              </w:rPr>
              <w:t>预警</w:t>
            </w:r>
          </w:p>
        </w:tc>
        <w:tc>
          <w:tcPr>
            <w:tcW w:w="2535" w:type="dxa"/>
            <w:vAlign w:val="top"/>
          </w:tcPr>
          <w:p>
            <w:pPr>
              <w:spacing w:line="279" w:lineRule="auto"/>
              <w:rPr>
                <w:rFonts w:ascii="Arial"/>
                <w:sz w:val="21"/>
              </w:rPr>
            </w:pPr>
          </w:p>
          <w:p>
            <w:pPr>
              <w:pStyle w:val="8"/>
              <w:spacing w:before="91" w:line="219" w:lineRule="auto"/>
              <w:ind w:left="474"/>
              <w:rPr>
                <w:sz w:val="28"/>
                <w:szCs w:val="28"/>
              </w:rPr>
            </w:pPr>
            <w:r>
              <w:rPr>
                <w:spacing w:val="-9"/>
                <w:sz w:val="28"/>
                <w:szCs w:val="28"/>
              </w:rPr>
              <w:t>四级（蓝色）</w:t>
            </w:r>
          </w:p>
        </w:tc>
        <w:tc>
          <w:tcPr>
            <w:tcW w:w="2760" w:type="dxa"/>
            <w:vAlign w:val="top"/>
          </w:tcPr>
          <w:p>
            <w:pPr>
              <w:spacing w:line="279" w:lineRule="auto"/>
              <w:rPr>
                <w:rFonts w:ascii="Arial"/>
                <w:sz w:val="21"/>
              </w:rPr>
            </w:pPr>
          </w:p>
          <w:p>
            <w:pPr>
              <w:pStyle w:val="8"/>
              <w:spacing w:before="91" w:line="219" w:lineRule="auto"/>
              <w:ind w:left="574"/>
              <w:rPr>
                <w:sz w:val="28"/>
                <w:szCs w:val="28"/>
              </w:rPr>
            </w:pPr>
            <w:r>
              <w:rPr>
                <w:spacing w:val="-7"/>
                <w:sz w:val="28"/>
                <w:szCs w:val="28"/>
              </w:rPr>
              <w:t>三级（黄色）</w:t>
            </w:r>
          </w:p>
        </w:tc>
        <w:tc>
          <w:tcPr>
            <w:tcW w:w="2822" w:type="dxa"/>
            <w:vAlign w:val="top"/>
          </w:tcPr>
          <w:p>
            <w:pPr>
              <w:spacing w:line="277" w:lineRule="auto"/>
              <w:rPr>
                <w:rFonts w:ascii="Arial"/>
                <w:sz w:val="21"/>
              </w:rPr>
            </w:pPr>
          </w:p>
          <w:p>
            <w:pPr>
              <w:pStyle w:val="8"/>
              <w:spacing w:before="91" w:line="219" w:lineRule="auto"/>
              <w:ind w:left="600"/>
              <w:rPr>
                <w:sz w:val="28"/>
                <w:szCs w:val="28"/>
              </w:rPr>
            </w:pPr>
            <w:r>
              <w:rPr>
                <w:spacing w:val="-6"/>
                <w:sz w:val="28"/>
                <w:szCs w:val="28"/>
              </w:rPr>
              <w:t>二级（橙色）</w:t>
            </w:r>
          </w:p>
        </w:tc>
        <w:tc>
          <w:tcPr>
            <w:tcW w:w="3334" w:type="dxa"/>
            <w:vAlign w:val="top"/>
          </w:tcPr>
          <w:p>
            <w:pPr>
              <w:spacing w:line="279" w:lineRule="auto"/>
              <w:rPr>
                <w:rFonts w:ascii="Arial"/>
                <w:sz w:val="21"/>
              </w:rPr>
            </w:pPr>
          </w:p>
          <w:p>
            <w:pPr>
              <w:pStyle w:val="8"/>
              <w:spacing w:before="91" w:line="219" w:lineRule="auto"/>
              <w:ind w:left="857"/>
              <w:rPr>
                <w:sz w:val="28"/>
                <w:szCs w:val="28"/>
              </w:rPr>
            </w:pPr>
            <w:r>
              <w:rPr>
                <w:spacing w:val="-7"/>
                <w:sz w:val="28"/>
                <w:szCs w:val="28"/>
              </w:rPr>
              <w:t>一级（红色）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9" w:hRule="atLeast"/>
        </w:trPr>
        <w:tc>
          <w:tcPr>
            <w:tcW w:w="1448" w:type="dxa"/>
            <w:vAlign w:val="top"/>
          </w:tcPr>
          <w:p>
            <w:pPr>
              <w:spacing w:line="291" w:lineRule="auto"/>
              <w:rPr>
                <w:rFonts w:ascii="Arial"/>
                <w:sz w:val="21"/>
              </w:rPr>
            </w:pPr>
          </w:p>
          <w:p>
            <w:pPr>
              <w:spacing w:line="291" w:lineRule="auto"/>
              <w:rPr>
                <w:rFonts w:ascii="Arial"/>
                <w:sz w:val="21"/>
              </w:rPr>
            </w:pPr>
          </w:p>
          <w:p>
            <w:pPr>
              <w:keepNext w:val="0"/>
              <w:keepLines w:val="0"/>
              <w:widowControl/>
              <w:suppressLineNumbers w:val="0"/>
              <w:jc w:val="left"/>
            </w:pPr>
          </w:p>
          <w:p>
            <w:pPr>
              <w:pStyle w:val="8"/>
              <w:spacing w:before="91" w:line="219" w:lineRule="auto"/>
              <w:ind w:left="449"/>
              <w:rPr>
                <w:sz w:val="28"/>
                <w:szCs w:val="28"/>
              </w:rPr>
            </w:pPr>
            <w:r>
              <w:rPr>
                <w:spacing w:val="-3"/>
                <w:sz w:val="28"/>
                <w:szCs w:val="28"/>
              </w:rPr>
              <w:t>含义</w:t>
            </w:r>
          </w:p>
        </w:tc>
        <w:tc>
          <w:tcPr>
            <w:tcW w:w="2535" w:type="dxa"/>
            <w:vAlign w:val="top"/>
          </w:tcPr>
          <w:p>
            <w:pPr>
              <w:pStyle w:val="8"/>
              <w:spacing w:before="190" w:line="303" w:lineRule="auto"/>
              <w:ind w:left="28" w:right="9" w:firstLine="561"/>
              <w:jc w:val="both"/>
              <w:rPr>
                <w:sz w:val="28"/>
                <w:szCs w:val="28"/>
              </w:rPr>
            </w:pPr>
            <w:r>
              <w:rPr>
                <w:spacing w:val="-5"/>
                <w:sz w:val="28"/>
                <w:szCs w:val="28"/>
              </w:rPr>
              <w:t>预计因气象因素</w:t>
            </w:r>
            <w:r>
              <w:rPr>
                <w:spacing w:val="5"/>
                <w:sz w:val="28"/>
                <w:szCs w:val="28"/>
              </w:rPr>
              <w:t xml:space="preserve"> </w:t>
            </w:r>
            <w:r>
              <w:rPr>
                <w:spacing w:val="-4"/>
                <w:sz w:val="28"/>
                <w:szCs w:val="28"/>
              </w:rPr>
              <w:t>致突发地质灾害发生</w:t>
            </w:r>
            <w:r>
              <w:rPr>
                <w:spacing w:val="5"/>
                <w:sz w:val="28"/>
                <w:szCs w:val="28"/>
              </w:rPr>
              <w:t xml:space="preserve"> </w:t>
            </w:r>
            <w:r>
              <w:rPr>
                <w:spacing w:val="-5"/>
                <w:sz w:val="28"/>
                <w:szCs w:val="28"/>
              </w:rPr>
              <w:t>有一定风险。</w:t>
            </w:r>
          </w:p>
        </w:tc>
        <w:tc>
          <w:tcPr>
            <w:tcW w:w="2760" w:type="dxa"/>
            <w:vAlign w:val="top"/>
          </w:tcPr>
          <w:p>
            <w:pPr>
              <w:pStyle w:val="8"/>
              <w:spacing w:before="190" w:line="303" w:lineRule="auto"/>
              <w:ind w:left="34" w:right="9" w:firstLine="554"/>
              <w:jc w:val="both"/>
              <w:rPr>
                <w:sz w:val="28"/>
                <w:szCs w:val="28"/>
              </w:rPr>
            </w:pPr>
            <w:r>
              <w:rPr>
                <w:spacing w:val="-1"/>
                <w:sz w:val="28"/>
                <w:szCs w:val="28"/>
              </w:rPr>
              <w:t>预计因气象因素</w:t>
            </w:r>
            <w:r>
              <w:rPr>
                <w:sz w:val="28"/>
                <w:szCs w:val="28"/>
              </w:rPr>
              <w:t xml:space="preserve"> </w:t>
            </w:r>
            <w:r>
              <w:rPr>
                <w:spacing w:val="21"/>
                <w:sz w:val="28"/>
                <w:szCs w:val="28"/>
              </w:rPr>
              <w:t>致突发地质灾害发生</w:t>
            </w:r>
            <w:r>
              <w:rPr>
                <w:spacing w:val="1"/>
                <w:sz w:val="28"/>
                <w:szCs w:val="28"/>
              </w:rPr>
              <w:t xml:space="preserve"> </w:t>
            </w:r>
            <w:r>
              <w:rPr>
                <w:spacing w:val="-5"/>
                <w:sz w:val="28"/>
                <w:szCs w:val="28"/>
              </w:rPr>
              <w:t>的风险较高。</w:t>
            </w:r>
          </w:p>
        </w:tc>
        <w:tc>
          <w:tcPr>
            <w:tcW w:w="2822" w:type="dxa"/>
            <w:vAlign w:val="top"/>
          </w:tcPr>
          <w:p>
            <w:pPr>
              <w:pStyle w:val="8"/>
              <w:spacing w:before="190" w:line="303" w:lineRule="auto"/>
              <w:ind w:left="36" w:right="8" w:firstLine="554"/>
              <w:jc w:val="both"/>
              <w:rPr>
                <w:sz w:val="28"/>
                <w:szCs w:val="28"/>
              </w:rPr>
            </w:pPr>
            <w:r>
              <w:rPr>
                <w:spacing w:val="-3"/>
                <w:sz w:val="28"/>
                <w:szCs w:val="28"/>
              </w:rPr>
              <w:t>预计因气象因素致</w:t>
            </w:r>
            <w:r>
              <w:rPr>
                <w:sz w:val="28"/>
                <w:szCs w:val="28"/>
              </w:rPr>
              <w:t xml:space="preserve"> </w:t>
            </w:r>
            <w:r>
              <w:rPr>
                <w:spacing w:val="-3"/>
                <w:sz w:val="28"/>
                <w:szCs w:val="28"/>
              </w:rPr>
              <w:t>突发地质灾害发生的风</w:t>
            </w:r>
            <w:r>
              <w:rPr>
                <w:sz w:val="28"/>
                <w:szCs w:val="28"/>
              </w:rPr>
              <w:t xml:space="preserve"> </w:t>
            </w:r>
            <w:r>
              <w:rPr>
                <w:spacing w:val="-9"/>
                <w:sz w:val="28"/>
                <w:szCs w:val="28"/>
              </w:rPr>
              <w:t>险高。</w:t>
            </w:r>
          </w:p>
        </w:tc>
        <w:tc>
          <w:tcPr>
            <w:tcW w:w="3334" w:type="dxa"/>
            <w:vAlign w:val="top"/>
          </w:tcPr>
          <w:p>
            <w:pPr>
              <w:pStyle w:val="8"/>
              <w:spacing w:before="190" w:line="303" w:lineRule="auto"/>
              <w:ind w:left="23" w:right="11" w:firstLine="567"/>
              <w:jc w:val="both"/>
              <w:rPr>
                <w:sz w:val="28"/>
                <w:szCs w:val="28"/>
              </w:rPr>
            </w:pPr>
            <w:r>
              <w:rPr>
                <w:spacing w:val="22"/>
                <w:sz w:val="28"/>
                <w:szCs w:val="28"/>
              </w:rPr>
              <w:t>预计因气象因素致突</w:t>
            </w:r>
            <w:r>
              <w:rPr>
                <w:spacing w:val="7"/>
                <w:sz w:val="28"/>
                <w:szCs w:val="28"/>
              </w:rPr>
              <w:t xml:space="preserve"> </w:t>
            </w:r>
            <w:r>
              <w:rPr>
                <w:spacing w:val="19"/>
                <w:sz w:val="28"/>
                <w:szCs w:val="28"/>
              </w:rPr>
              <w:t>发地质灾害发生的风险很</w:t>
            </w:r>
            <w:r>
              <w:rPr>
                <w:spacing w:val="3"/>
                <w:sz w:val="28"/>
                <w:szCs w:val="28"/>
              </w:rPr>
              <w:t xml:space="preserve"> </w:t>
            </w:r>
            <w:r>
              <w:rPr>
                <w:spacing w:val="-5"/>
                <w:sz w:val="28"/>
                <w:szCs w:val="28"/>
              </w:rPr>
              <w:t>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1" w:hRule="atLeast"/>
        </w:trPr>
        <w:tc>
          <w:tcPr>
            <w:tcW w:w="1448"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8"/>
              <w:spacing w:before="91" w:line="252" w:lineRule="auto"/>
              <w:ind w:left="454" w:right="440" w:firstLine="10"/>
              <w:rPr>
                <w:sz w:val="28"/>
                <w:szCs w:val="28"/>
              </w:rPr>
            </w:pPr>
            <w:r>
              <w:rPr>
                <w:spacing w:val="-12"/>
                <w:sz w:val="28"/>
                <w:szCs w:val="28"/>
              </w:rPr>
              <w:t>预警</w:t>
            </w:r>
            <w:r>
              <w:rPr>
                <w:sz w:val="28"/>
                <w:szCs w:val="28"/>
              </w:rPr>
              <w:t xml:space="preserve"> </w:t>
            </w:r>
            <w:r>
              <w:rPr>
                <w:spacing w:val="-6"/>
                <w:sz w:val="28"/>
                <w:szCs w:val="28"/>
              </w:rPr>
              <w:t>措施</w:t>
            </w:r>
          </w:p>
        </w:tc>
        <w:tc>
          <w:tcPr>
            <w:tcW w:w="2535" w:type="dxa"/>
            <w:vAlign w:val="top"/>
          </w:tcPr>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pStyle w:val="8"/>
              <w:spacing w:before="91" w:line="336" w:lineRule="auto"/>
              <w:ind w:left="17" w:right="11" w:firstLine="557"/>
              <w:rPr>
                <w:sz w:val="28"/>
                <w:szCs w:val="28"/>
              </w:rPr>
            </w:pPr>
            <w:r>
              <w:rPr>
                <w:spacing w:val="-3"/>
                <w:sz w:val="28"/>
                <w:szCs w:val="28"/>
              </w:rPr>
              <w:t>做好值守工作，</w:t>
            </w:r>
            <w:r>
              <w:rPr>
                <w:spacing w:val="2"/>
                <w:sz w:val="28"/>
                <w:szCs w:val="28"/>
              </w:rPr>
              <w:t xml:space="preserve"> </w:t>
            </w:r>
            <w:r>
              <w:rPr>
                <w:spacing w:val="-3"/>
                <w:sz w:val="28"/>
                <w:szCs w:val="28"/>
              </w:rPr>
              <w:t>保持通信联络畅通，</w:t>
            </w:r>
            <w:r>
              <w:rPr>
                <w:spacing w:val="6"/>
                <w:sz w:val="28"/>
                <w:szCs w:val="28"/>
              </w:rPr>
              <w:t xml:space="preserve"> </w:t>
            </w:r>
            <w:r>
              <w:rPr>
                <w:spacing w:val="-3"/>
                <w:sz w:val="28"/>
                <w:szCs w:val="28"/>
              </w:rPr>
              <w:t>相关部门密切关注雨</w:t>
            </w:r>
            <w:r>
              <w:rPr>
                <w:spacing w:val="6"/>
                <w:sz w:val="28"/>
                <w:szCs w:val="28"/>
              </w:rPr>
              <w:t xml:space="preserve"> </w:t>
            </w:r>
            <w:r>
              <w:rPr>
                <w:spacing w:val="-3"/>
                <w:sz w:val="28"/>
                <w:szCs w:val="28"/>
              </w:rPr>
              <w:t>情、水情变化。</w:t>
            </w:r>
          </w:p>
        </w:tc>
        <w:tc>
          <w:tcPr>
            <w:tcW w:w="2760" w:type="dxa"/>
            <w:vAlign w:val="top"/>
          </w:tcPr>
          <w:p>
            <w:pPr>
              <w:spacing w:line="292" w:lineRule="auto"/>
              <w:rPr>
                <w:rFonts w:ascii="Arial"/>
                <w:sz w:val="21"/>
              </w:rPr>
            </w:pPr>
          </w:p>
          <w:p>
            <w:pPr>
              <w:spacing w:line="292" w:lineRule="auto"/>
              <w:rPr>
                <w:rFonts w:ascii="Arial"/>
                <w:sz w:val="21"/>
              </w:rPr>
            </w:pPr>
          </w:p>
          <w:p>
            <w:pPr>
              <w:spacing w:line="292" w:lineRule="auto"/>
              <w:rPr>
                <w:rFonts w:ascii="Arial"/>
                <w:sz w:val="21"/>
              </w:rPr>
            </w:pPr>
          </w:p>
          <w:p>
            <w:pPr>
              <w:pStyle w:val="8"/>
              <w:spacing w:before="91" w:line="337" w:lineRule="auto"/>
              <w:ind w:left="22" w:right="9" w:firstLine="553"/>
              <w:rPr>
                <w:sz w:val="28"/>
                <w:szCs w:val="28"/>
              </w:rPr>
            </w:pPr>
            <w:r>
              <w:rPr>
                <w:spacing w:val="10"/>
                <w:sz w:val="28"/>
                <w:szCs w:val="28"/>
              </w:rPr>
              <w:t>做好隐患点的巡</w:t>
            </w:r>
            <w:r>
              <w:rPr>
                <w:spacing w:val="-8"/>
                <w:sz w:val="28"/>
                <w:szCs w:val="28"/>
              </w:rPr>
              <w:t>查、排查和监测工作，</w:t>
            </w:r>
            <w:r>
              <w:rPr>
                <w:spacing w:val="2"/>
                <w:sz w:val="28"/>
                <w:szCs w:val="28"/>
              </w:rPr>
              <w:t xml:space="preserve"> </w:t>
            </w:r>
            <w:r>
              <w:rPr>
                <w:spacing w:val="-5"/>
                <w:sz w:val="28"/>
                <w:szCs w:val="28"/>
              </w:rPr>
              <w:t>每天巡查监测不少于2</w:t>
            </w:r>
            <w:r>
              <w:rPr>
                <w:spacing w:val="-8"/>
                <w:sz w:val="28"/>
                <w:szCs w:val="28"/>
              </w:rPr>
              <w:t>次，特别是房前屋后边</w:t>
            </w:r>
            <w:r>
              <w:rPr>
                <w:spacing w:val="2"/>
                <w:sz w:val="28"/>
                <w:szCs w:val="28"/>
              </w:rPr>
              <w:t xml:space="preserve"> </w:t>
            </w:r>
            <w:r>
              <w:rPr>
                <w:spacing w:val="-3"/>
                <w:sz w:val="28"/>
                <w:szCs w:val="28"/>
              </w:rPr>
              <w:t>坡要进行重点巡查。</w:t>
            </w:r>
          </w:p>
        </w:tc>
        <w:tc>
          <w:tcPr>
            <w:tcW w:w="2822" w:type="dxa"/>
            <w:vAlign w:val="top"/>
          </w:tcPr>
          <w:p>
            <w:pPr>
              <w:spacing w:line="309" w:lineRule="auto"/>
              <w:rPr>
                <w:rFonts w:ascii="Arial"/>
                <w:sz w:val="21"/>
              </w:rPr>
            </w:pPr>
          </w:p>
          <w:p>
            <w:pPr>
              <w:spacing w:line="310" w:lineRule="auto"/>
              <w:rPr>
                <w:rFonts w:ascii="Arial"/>
                <w:sz w:val="21"/>
              </w:rPr>
            </w:pPr>
          </w:p>
          <w:p>
            <w:pPr>
              <w:pStyle w:val="8"/>
              <w:spacing w:before="91" w:line="328" w:lineRule="auto"/>
              <w:ind w:left="43" w:right="8" w:firstLine="553"/>
              <w:rPr>
                <w:sz w:val="28"/>
                <w:szCs w:val="28"/>
              </w:rPr>
            </w:pPr>
            <w:r>
              <w:rPr>
                <w:spacing w:val="-4"/>
                <w:sz w:val="28"/>
                <w:szCs w:val="28"/>
              </w:rPr>
              <w:t>1.暂停灾害隐患点</w:t>
            </w:r>
            <w:r>
              <w:rPr>
                <w:spacing w:val="5"/>
                <w:sz w:val="28"/>
                <w:szCs w:val="28"/>
              </w:rPr>
              <w:t xml:space="preserve"> </w:t>
            </w:r>
            <w:r>
              <w:rPr>
                <w:spacing w:val="-6"/>
                <w:sz w:val="28"/>
                <w:szCs w:val="28"/>
              </w:rPr>
              <w:t>附近的户外作业。</w:t>
            </w:r>
          </w:p>
          <w:p>
            <w:pPr>
              <w:pStyle w:val="8"/>
              <w:spacing w:before="45" w:line="219" w:lineRule="auto"/>
              <w:ind w:right="19"/>
              <w:jc w:val="right"/>
              <w:rPr>
                <w:sz w:val="28"/>
                <w:szCs w:val="28"/>
              </w:rPr>
            </w:pPr>
            <w:r>
              <w:rPr>
                <w:spacing w:val="-4"/>
                <w:sz w:val="28"/>
                <w:szCs w:val="28"/>
              </w:rPr>
              <w:t>2.严密巡查监测。</w:t>
            </w:r>
          </w:p>
          <w:p>
            <w:pPr>
              <w:pStyle w:val="8"/>
              <w:spacing w:before="188" w:line="334" w:lineRule="auto"/>
              <w:ind w:left="20" w:right="8" w:firstLine="580"/>
              <w:rPr>
                <w:sz w:val="28"/>
                <w:szCs w:val="28"/>
              </w:rPr>
            </w:pPr>
            <w:r>
              <w:rPr>
                <w:spacing w:val="-4"/>
                <w:sz w:val="28"/>
                <w:szCs w:val="28"/>
              </w:rPr>
              <w:t>3.做好应急抢险准</w:t>
            </w:r>
            <w:r>
              <w:rPr>
                <w:spacing w:val="1"/>
                <w:sz w:val="28"/>
                <w:szCs w:val="28"/>
              </w:rPr>
              <w:t xml:space="preserve"> </w:t>
            </w:r>
            <w:r>
              <w:rPr>
                <w:spacing w:val="-2"/>
                <w:sz w:val="28"/>
                <w:szCs w:val="28"/>
              </w:rPr>
              <w:t>备工作，发现异常采取</w:t>
            </w:r>
            <w:r>
              <w:rPr>
                <w:spacing w:val="6"/>
                <w:sz w:val="28"/>
                <w:szCs w:val="28"/>
              </w:rPr>
              <w:t xml:space="preserve"> </w:t>
            </w:r>
            <w:r>
              <w:rPr>
                <w:spacing w:val="-3"/>
                <w:sz w:val="28"/>
                <w:szCs w:val="28"/>
              </w:rPr>
              <w:t>避让措施。</w:t>
            </w:r>
          </w:p>
        </w:tc>
        <w:tc>
          <w:tcPr>
            <w:tcW w:w="3334" w:type="dxa"/>
            <w:vAlign w:val="top"/>
          </w:tcPr>
          <w:p>
            <w:pPr>
              <w:pStyle w:val="8"/>
              <w:spacing w:before="194" w:line="335" w:lineRule="auto"/>
              <w:ind w:left="37" w:right="11" w:firstLine="560"/>
              <w:rPr>
                <w:sz w:val="28"/>
                <w:szCs w:val="28"/>
              </w:rPr>
            </w:pPr>
            <w:r>
              <w:rPr>
                <w:spacing w:val="12"/>
                <w:sz w:val="28"/>
                <w:szCs w:val="28"/>
              </w:rPr>
              <w:t>1.</w:t>
            </w:r>
            <w:r>
              <w:rPr>
                <w:rFonts w:hint="eastAsia"/>
                <w:spacing w:val="12"/>
                <w:sz w:val="28"/>
                <w:szCs w:val="28"/>
                <w:lang w:val="en-US" w:eastAsia="zh-CN"/>
              </w:rPr>
              <w:t>各乡镇（街道、中心）</w:t>
            </w:r>
            <w:r>
              <w:rPr>
                <w:spacing w:val="12"/>
                <w:sz w:val="28"/>
                <w:szCs w:val="28"/>
              </w:rPr>
              <w:t>根据</w:t>
            </w:r>
            <w:r>
              <w:rPr>
                <w:spacing w:val="-7"/>
                <w:sz w:val="28"/>
                <w:szCs w:val="28"/>
              </w:rPr>
              <w:t>实际情况，将可能发生地质</w:t>
            </w:r>
            <w:r>
              <w:rPr>
                <w:spacing w:val="2"/>
                <w:sz w:val="28"/>
                <w:szCs w:val="28"/>
              </w:rPr>
              <w:t xml:space="preserve"> </w:t>
            </w:r>
            <w:r>
              <w:rPr>
                <w:spacing w:val="18"/>
                <w:sz w:val="28"/>
                <w:szCs w:val="28"/>
              </w:rPr>
              <w:t>灾害的重点隐患点受威胁</w:t>
            </w:r>
            <w:r>
              <w:rPr>
                <w:spacing w:val="-5"/>
                <w:sz w:val="28"/>
                <w:szCs w:val="28"/>
              </w:rPr>
              <w:t>的人员转移避让。</w:t>
            </w:r>
          </w:p>
          <w:p>
            <w:pPr>
              <w:pStyle w:val="8"/>
              <w:spacing w:before="45" w:line="329" w:lineRule="auto"/>
              <w:ind w:left="34" w:right="11" w:firstLine="556"/>
              <w:rPr>
                <w:sz w:val="28"/>
                <w:szCs w:val="28"/>
              </w:rPr>
            </w:pPr>
            <w:r>
              <w:rPr>
                <w:spacing w:val="-7"/>
                <w:sz w:val="28"/>
                <w:szCs w:val="28"/>
              </w:rPr>
              <w:t>2.做好抢险准备，实行</w:t>
            </w:r>
            <w:r>
              <w:rPr>
                <w:spacing w:val="2"/>
                <w:sz w:val="28"/>
                <w:szCs w:val="28"/>
              </w:rPr>
              <w:t xml:space="preserve"> </w:t>
            </w:r>
            <w:r>
              <w:rPr>
                <w:spacing w:val="-5"/>
                <w:sz w:val="28"/>
                <w:szCs w:val="28"/>
              </w:rPr>
              <w:t>24</w:t>
            </w:r>
            <w:r>
              <w:rPr>
                <w:spacing w:val="-50"/>
                <w:sz w:val="28"/>
                <w:szCs w:val="28"/>
              </w:rPr>
              <w:t xml:space="preserve"> </w:t>
            </w:r>
            <w:r>
              <w:rPr>
                <w:spacing w:val="-5"/>
                <w:sz w:val="28"/>
                <w:szCs w:val="28"/>
              </w:rPr>
              <w:t>小时不间断巡查监测。</w:t>
            </w:r>
          </w:p>
          <w:p>
            <w:pPr>
              <w:pStyle w:val="8"/>
              <w:spacing w:before="46" w:line="302" w:lineRule="auto"/>
              <w:ind w:left="24" w:right="11" w:firstLine="577"/>
              <w:rPr>
                <w:sz w:val="28"/>
                <w:szCs w:val="28"/>
              </w:rPr>
            </w:pPr>
            <w:r>
              <w:rPr>
                <w:spacing w:val="19"/>
                <w:sz w:val="28"/>
                <w:szCs w:val="28"/>
              </w:rPr>
              <w:t>3.</w:t>
            </w:r>
            <w:r>
              <w:rPr>
                <w:rFonts w:hint="eastAsia"/>
                <w:spacing w:val="12"/>
                <w:sz w:val="28"/>
                <w:szCs w:val="28"/>
                <w:lang w:val="en-US" w:eastAsia="zh-CN"/>
              </w:rPr>
              <w:t>各乡镇（街道、中心）</w:t>
            </w:r>
            <w:r>
              <w:rPr>
                <w:spacing w:val="19"/>
                <w:sz w:val="28"/>
                <w:szCs w:val="28"/>
              </w:rPr>
              <w:t>及相</w:t>
            </w:r>
            <w:r>
              <w:rPr>
                <w:spacing w:val="1"/>
                <w:sz w:val="28"/>
                <w:szCs w:val="28"/>
              </w:rPr>
              <w:t xml:space="preserve"> </w:t>
            </w:r>
            <w:r>
              <w:rPr>
                <w:spacing w:val="19"/>
                <w:sz w:val="28"/>
                <w:szCs w:val="28"/>
              </w:rPr>
              <w:t>关部门对预警区域预警措</w:t>
            </w:r>
            <w:r>
              <w:rPr>
                <w:spacing w:val="2"/>
                <w:sz w:val="28"/>
                <w:szCs w:val="28"/>
              </w:rPr>
              <w:t xml:space="preserve"> </w:t>
            </w:r>
            <w:r>
              <w:rPr>
                <w:spacing w:val="-8"/>
                <w:sz w:val="28"/>
                <w:szCs w:val="28"/>
              </w:rPr>
              <w:t>施落实情况进行督促检查。</w:t>
            </w:r>
          </w:p>
        </w:tc>
      </w:tr>
    </w:tbl>
    <w:p>
      <w:pPr>
        <w:rPr>
          <w:rFonts w:ascii="Arial" w:hAnsi="Arial" w:eastAsia="Arial" w:cs="Arial"/>
          <w:sz w:val="21"/>
          <w:szCs w:val="21"/>
        </w:rPr>
        <w:sectPr>
          <w:pgSz w:w="16839" w:h="11906"/>
          <w:pgMar w:top="1012" w:right="1967" w:bottom="969" w:left="1114" w:header="0" w:footer="0" w:gutter="0"/>
          <w:cols w:space="720" w:num="1"/>
        </w:sectPr>
      </w:pPr>
    </w:p>
    <w:p>
      <w:pPr>
        <w:rPr>
          <w:rFonts w:ascii="Arial"/>
          <w:sz w:val="21"/>
        </w:rPr>
      </w:pPr>
    </w:p>
    <w:sectPr>
      <w:pgSz w:w="11906" w:h="16839"/>
      <w:pgMar w:top="1431" w:right="1464" w:bottom="400" w:left="147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WenQuanYi Micro Hei">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true"/>
  <w:bordersDoNotSurroundHeader w:val="false"/>
  <w:bordersDoNotSurroundFooter w:val="false"/>
  <w:documentProtection w:enforcement="0"/>
  <w:displayHorizontalDrawingGridEvery w:val="1"/>
  <w:displayVerticalDrawingGridEvery w:val="1"/>
  <w:noPunctuationKerning w:val="true"/>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rsids>
    <w:rsidRoot w:val="00000000"/>
    <w:rsid w:val="02355837"/>
    <w:rsid w:val="02E105DF"/>
    <w:rsid w:val="079542C9"/>
    <w:rsid w:val="0B7D7BCE"/>
    <w:rsid w:val="0F2F694A"/>
    <w:rsid w:val="11CE746F"/>
    <w:rsid w:val="12220E72"/>
    <w:rsid w:val="16A9014A"/>
    <w:rsid w:val="1B704DE3"/>
    <w:rsid w:val="1D6A3AFD"/>
    <w:rsid w:val="1DE005DE"/>
    <w:rsid w:val="1DEF4010"/>
    <w:rsid w:val="240E223B"/>
    <w:rsid w:val="27982D03"/>
    <w:rsid w:val="2A140675"/>
    <w:rsid w:val="2C8913F4"/>
    <w:rsid w:val="341A247D"/>
    <w:rsid w:val="37E5394B"/>
    <w:rsid w:val="38807FB5"/>
    <w:rsid w:val="3BF75E88"/>
    <w:rsid w:val="3FBC64AD"/>
    <w:rsid w:val="418C0550"/>
    <w:rsid w:val="42BD6B1A"/>
    <w:rsid w:val="48623B31"/>
    <w:rsid w:val="4EBD3F1A"/>
    <w:rsid w:val="4EC46E62"/>
    <w:rsid w:val="50041972"/>
    <w:rsid w:val="50347B7C"/>
    <w:rsid w:val="585A569C"/>
    <w:rsid w:val="5D6B3030"/>
    <w:rsid w:val="5E6B6A35"/>
    <w:rsid w:val="5FF52A4D"/>
    <w:rsid w:val="614618E9"/>
    <w:rsid w:val="64482A29"/>
    <w:rsid w:val="645A4FCD"/>
    <w:rsid w:val="69BD1BB0"/>
    <w:rsid w:val="72C97B17"/>
    <w:rsid w:val="741C4C68"/>
    <w:rsid w:val="76052BE0"/>
    <w:rsid w:val="788F00C3"/>
    <w:rsid w:val="794052E8"/>
    <w:rsid w:val="79C630A1"/>
    <w:rsid w:val="7A571374"/>
    <w:rsid w:val="8FB5F4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NormalIndent"/>
    <w:basedOn w:val="1"/>
    <w:next w:val="1"/>
    <w:qFormat/>
    <w:uiPriority w:val="0"/>
    <w:pPr>
      <w:snapToGrid w:val="0"/>
      <w:spacing w:line="360" w:lineRule="auto"/>
      <w:ind w:firstLineChars="0"/>
      <w:jc w:val="both"/>
      <w:textAlignment w:val="baseline"/>
    </w:pPr>
  </w:style>
  <w:style w:type="paragraph" w:styleId="3">
    <w:name w:val="Body Text"/>
    <w:basedOn w:val="1"/>
    <w:semiHidden/>
    <w:qFormat/>
    <w:uiPriority w:val="0"/>
    <w:rPr>
      <w:rFonts w:ascii="仿宋" w:hAnsi="仿宋" w:eastAsia="仿宋" w:cs="仿宋"/>
      <w:sz w:val="31"/>
      <w:szCs w:val="31"/>
      <w:lang w:val="en-US" w:eastAsia="en-US" w:bidi="ar-SA"/>
    </w:rPr>
  </w:style>
  <w:style w:type="paragraph" w:customStyle="1" w:styleId="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63"/>
    <customShpInfo spid="_x0000_s106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17</Pages>
  <Words>6777</Words>
  <Characters>6918</Characters>
  <TotalTime>41</TotalTime>
  <ScaleCrop>false</ScaleCrop>
  <LinksUpToDate>false</LinksUpToDate>
  <CharactersWithSpaces>7115</CharactersWithSpaces>
  <Application>WPS Office_11.8.2.9695_F1E327BC-269C-435d-A152-05C5408002CA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2021-06-08T01:54:00Z</dcterms:created>
  <dc:creator>常 悦锟</dc:creator>
  <cp:lastModifiedBy>user</cp:lastModifiedBy>
  <cp:lastPrinted>2025-03-04T14:58:00Z</cp:lastPrinted>
  <dcterms:modified xsi:type="dcterms:W3CDTF">2025-03-31T17:57:47Z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2025-03-03T14:50:58Z</vt:filetime>
  </property>
  <property fmtid="{D5CDD505-2E9C-101B-9397-08002B2CF9AE}" pid="4" name="KSOTemplateDocerSaveRecord">
    <vt:lpwstr>eyJoZGlkIjoiNjE3NzhiODViMGI5NjM3ZjIwOGZkMjhlMDJjODExZGMiLCJ1c2VySWQiOiIyODU2MzUwNDkifQ==</vt:lpwstr>
  </property>
  <property fmtid="{D5CDD505-2E9C-101B-9397-08002B2CF9AE}" pid="5" name="KSOProductBuildVer">
    <vt:lpwstr>2052-11.8.2.9695</vt:lpwstr>
  </property>
  <property fmtid="{D5CDD505-2E9C-101B-9397-08002B2CF9AE}" pid="6" name="ICV">
    <vt:lpwstr>6E6860BD06844648B3F8C7EB66BB8030_12</vt:lpwstr>
  </property>
</Properties>
</file>