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屯政办发〔2024〕46号</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华文中宋" w:hAnsi="华文中宋" w:eastAsia="华文中宋" w:cs="华文中宋"/>
          <w:sz w:val="44"/>
          <w:szCs w:val="44"/>
          <w:lang w:val="en-US" w:eastAsia="zh-CN"/>
        </w:rPr>
      </w:pPr>
      <w:bookmarkStart w:id="0" w:name="_GoBack"/>
      <w:r>
        <w:rPr>
          <w:rFonts w:hint="eastAsia" w:ascii="华文中宋" w:hAnsi="华文中宋" w:eastAsia="华文中宋" w:cs="华文中宋"/>
          <w:sz w:val="44"/>
          <w:szCs w:val="44"/>
          <w:lang w:val="en-US" w:eastAsia="zh-CN"/>
        </w:rPr>
        <w:t>长治市屯留区人民政府办公室</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关于印发《长治市屯留区区级储备粮管理</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华文中宋" w:hAnsi="华文中宋" w:eastAsia="华文中宋" w:cs="华文中宋"/>
          <w:sz w:val="44"/>
          <w:szCs w:val="44"/>
          <w:lang w:val="en-US" w:eastAsia="zh-CN"/>
        </w:rPr>
      </w:pPr>
      <w:r>
        <w:rPr>
          <w:rFonts w:hint="eastAsia" w:ascii="华文中宋" w:hAnsi="华文中宋" w:eastAsia="华文中宋" w:cs="华文中宋"/>
          <w:sz w:val="44"/>
          <w:szCs w:val="44"/>
          <w:lang w:val="en-US" w:eastAsia="zh-CN"/>
        </w:rPr>
        <w:t>办法》的通知</w:t>
      </w:r>
    </w:p>
    <w:bookmarkEnd w:id="0"/>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各乡镇人民政府、综合服务中心，街道办事处，区直各有关单位：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《长治市屯留区区级储备粮管理办法》已经区人民政府同意，现印发给你们，请认真贯彻执行。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长治市屯留区人民政府办公室</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5440" w:firstLineChars="1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2024年10月11日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（此件主动公开）</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both"/>
        <w:textAlignment w:val="auto"/>
        <w:rPr>
          <w:rFonts w:hint="eastAsia" w:ascii="华文中宋" w:hAnsi="华文中宋" w:eastAsia="华文中宋" w:cs="华文中宋"/>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华文中宋" w:hAnsi="华文中宋" w:eastAsia="华文中宋" w:cs="华文中宋"/>
          <w:sz w:val="44"/>
          <w:szCs w:val="44"/>
        </w:rPr>
      </w:pPr>
      <w:r>
        <w:rPr>
          <w:rFonts w:hint="eastAsia" w:ascii="华文中宋" w:hAnsi="华文中宋" w:eastAsia="华文中宋" w:cs="华文中宋"/>
          <w:sz w:val="44"/>
          <w:szCs w:val="44"/>
          <w:lang w:val="en-US" w:eastAsia="zh-CN"/>
        </w:rPr>
        <w:t>长治市屯留区区级储备粮管理办法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为了维护粮食市场稳定,有效发挥</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级储备粮宏观调控作用，建立管理科学、调控有力、吞吐灵活的</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粮管理体系,进一步加强</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级储备粮管理，根据《</w:t>
      </w:r>
      <w:r>
        <w:rPr>
          <w:rFonts w:hint="eastAsia" w:ascii="仿宋_GB2312" w:hAnsi="仿宋_GB2312" w:eastAsia="仿宋_GB2312" w:cs="仿宋_GB2312"/>
          <w:sz w:val="32"/>
          <w:szCs w:val="32"/>
          <w:lang w:val="en-US" w:eastAsia="zh-CN"/>
        </w:rPr>
        <w:t>长治市市级储备</w:t>
      </w:r>
      <w:r>
        <w:rPr>
          <w:rFonts w:hint="eastAsia" w:ascii="仿宋_GB2312" w:hAnsi="仿宋_GB2312" w:eastAsia="仿宋_GB2312" w:cs="仿宋_GB2312"/>
          <w:sz w:val="32"/>
          <w:szCs w:val="32"/>
        </w:rPr>
        <w:t>粮管理办法》(</w:t>
      </w:r>
      <w:r>
        <w:rPr>
          <w:rFonts w:hint="eastAsia" w:ascii="仿宋_GB2312" w:hAnsi="仿宋_GB2312" w:eastAsia="仿宋_GB2312" w:cs="仿宋_GB2312"/>
          <w:sz w:val="32"/>
          <w:szCs w:val="32"/>
          <w:lang w:val="en-US" w:eastAsia="zh-CN"/>
        </w:rPr>
        <w:t>长政规〔2024〕1号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文件精神</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结合屯留区实际</w:t>
      </w:r>
      <w:r>
        <w:rPr>
          <w:rFonts w:hint="eastAsia" w:ascii="仿宋_GB2312" w:hAnsi="仿宋_GB2312" w:eastAsia="仿宋_GB2312" w:cs="仿宋_GB2312"/>
          <w:sz w:val="32"/>
          <w:szCs w:val="32"/>
        </w:rPr>
        <w:t>制定本办法。</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行政区域内</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级储备粮的计划、储存、动用以及监督等管理活动，适用本办法。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级储备粮，是指</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人民政府储备的用于调节全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粮食供求总量，稳定粮食市场，以及应对重大自然灾害或者其他突发事件等情况的粮食(含食用油)。</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lang w:val="en-US" w:eastAsia="zh-CN"/>
        </w:rPr>
        <w:t xml:space="preserve"> 区</w:t>
      </w:r>
      <w:r>
        <w:rPr>
          <w:rFonts w:hint="eastAsia" w:ascii="仿宋_GB2312" w:hAnsi="仿宋_GB2312" w:eastAsia="仿宋_GB2312" w:cs="仿宋_GB2312"/>
          <w:sz w:val="32"/>
          <w:szCs w:val="32"/>
        </w:rPr>
        <w:t>级储备管理应当坚持政府主导、分级负责、调度顺畅、安全有效的原则。</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lang w:val="en-US" w:eastAsia="zh-CN"/>
        </w:rPr>
        <w:t xml:space="preserve"> 区</w:t>
      </w:r>
      <w:r>
        <w:rPr>
          <w:rFonts w:hint="eastAsia" w:ascii="仿宋_GB2312" w:hAnsi="仿宋_GB2312" w:eastAsia="仿宋_GB2312" w:cs="仿宋_GB2312"/>
          <w:sz w:val="32"/>
          <w:szCs w:val="32"/>
        </w:rPr>
        <w:t>人民政府应当建立健全粮食安全责任制，加强</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级储备粮管理，完善</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级储备粮工作机制，按照省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下达的储备粮总量计划或者动态调整要求，确保</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级储备粮规模，制定、下达</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级储备粮计划。</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lang w:val="en-US" w:eastAsia="zh-CN"/>
        </w:rPr>
        <w:t xml:space="preserve"> 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部门负责</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级储备粮的行政管理，组织实施</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级储备粮计划，建立</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级储备粮业务管理制度，加强粮食储备信息化建设，对</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级储备粮的品种、数量、质量和储存安全等实施监督检查。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财政部门负责</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粮的贷款利息、保管费用、轮换费用(以下统称管理费用)等财政补贴，保证及时足额拨付，并对</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粮有关财务执行情况实施监督检查。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农业发展银行按照国家、省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政策规定，保证</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粮信贷资金需要。</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承担</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粮储存任务的单位(以下简称承储单位)负责</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粮的日常运营管理,对承储的</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粮品种、数量、质量和储存安全等负责。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承储单位应当在农业发展银行开立基本账户，并接受信贷监管.</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粮所有权归</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人民政府，未经</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人民政府批准，任何单位和个人不得擅自动用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部门应会同</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财政部门、农业发展银行，根据国家、省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下达的储备粮总量计划、本</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宏观调控需要和财政承受能力提出</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粮油计划(其中口粮比例不低于百分之七十)，经</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人民政府批准后实施。</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部门应当根据</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粮计划，会同</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财政部门和农业发展银行制定、下达</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粮收购、销售计划。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承储单位应当根据</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粮收购、销售计划，具体组织实施</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粮的收购、销售。</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粮按照规定实行均衡轮换。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承储单位应当结合</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粮的储存品质和入库生产年限，逐级提出轮换计划申请，经</w:t>
      </w:r>
      <w:r>
        <w:rPr>
          <w:rFonts w:hint="eastAsia" w:ascii="仿宋_GB2312" w:hAnsi="仿宋_GB2312" w:eastAsia="仿宋_GB2312" w:cs="仿宋_GB2312"/>
          <w:sz w:val="32"/>
          <w:szCs w:val="32"/>
          <w:lang w:val="en-US" w:eastAsia="zh-CN"/>
        </w:rPr>
        <w:t>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财政部门和农业发展银行批准后实施。</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承储单位应当将</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粮收购、销售、轮换计划的执行情况，按照规定报</w:t>
      </w:r>
      <w:r>
        <w:rPr>
          <w:rFonts w:hint="eastAsia" w:ascii="仿宋_GB2312" w:hAnsi="仿宋_GB2312" w:eastAsia="仿宋_GB2312" w:cs="仿宋_GB2312"/>
          <w:sz w:val="32"/>
          <w:szCs w:val="32"/>
          <w:lang w:val="en-US" w:eastAsia="zh-CN"/>
        </w:rPr>
        <w:t>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财政部门和农业发展银行。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储存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lang w:val="en-US" w:eastAsia="zh-CN"/>
        </w:rPr>
        <w:t xml:space="preserve"> 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部门按照布局合理、节约成本和便于监管的原则确定承储单位。承储单位应当具备下列条件: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(一)仓(罐)容规模达到</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粮安全储存的规模，仓储条件符合国家标准和技术规范;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(二)具有与粮食储存功能、仓(罐)型、进出方式、品种、周期等相适应的仓储设备;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(三)具备粮食储存安全需要的智能化仓储设施和信息化管理技术;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(四)具有符合国家标准的粮食常规质量、储存品质及食品安全指标检验的仪器和场所;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(五)具有经过专业培训合格的粮油保管员、粮油质量检验员、特种作业人员等管理技术人员;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(六)运营管理和信誉良好，无违法运营记录;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(七)法律、法规、规章规定的其他条件。</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承储单位应当遵守下列规定: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(一)执行储备粮管理法律、法规、规章,遵守国家标准、技术规范和</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粮管理的各项制度;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(二)保证入库的</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粮达到收购、轮换计划规定的质量等级，并符合国家规定的常规质量、储存品质和食品安全指标;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(三)实行专仓储存、专人保管、专账记载，保证</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粮账实相符、账账相符，数量真实、质量良好、储存安全;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(四)建立储备粮安全和安全生产管理制度，配备必要的人防、物防、技防等安全防护设施;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(五)对储存管理状况按规定进行检查，发现问题及时处理;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(六)法律、法规、规章的其他规定。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承储单位不得有下列行为: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(一)虚报粮食收储数量;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(二)通过以陈顶新、以次充好、低收高转、虚假购销、虚假轮换、违规倒卖等方式，套取粮食价差和财政补贴，骗取信贷资金和</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粮基金;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(三)以</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粮和储备设施、设备为债务作担保、清偿债务或者进行期货实物交割;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(四)利用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粮进行除政府委托的政策性任务以外的其他商业经营;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粮出库时掺杂使假、以次充好、调换标的物，拒不执行出库指令或者阻挠出库;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(六)租仓储存、委托代储;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(七)擅自串换品种、变更储存库点和仓号;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(八)因延误轮换或者管理不善造成轻度不宜存、食品安全指标超标;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(九)法律、法规、规章禁止的其他行为。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粮的轮换应当按照国家规定的交易方式进行，优先轮换库存中接近不宜存或者储存时间较长的储备粮。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承储单位应当在轮换计划规定的时间内完成</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粮轮换，对于无正当理由，超过规定轮换架空期的，不能享受相应的贷款利息、管理费用等补贴。承储单位可以从各项节余资金中，按照一定的比例提取储备粮风险准备金，专项用于</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粮轮换风险等支出，相关准备金要存入农业发展银行开立的专户中。</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承储单位依法被撤销、解散或者破产的，其储存的</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粮由</w:t>
      </w:r>
      <w:r>
        <w:rPr>
          <w:rFonts w:hint="eastAsia" w:ascii="仿宋_GB2312" w:hAnsi="仿宋_GB2312" w:eastAsia="仿宋_GB2312" w:cs="仿宋_GB2312"/>
          <w:sz w:val="32"/>
          <w:szCs w:val="32"/>
          <w:lang w:val="en-US" w:eastAsia="zh-CN"/>
        </w:rPr>
        <w:t>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部门负责调出另储。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动用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区发改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粮食</w:t>
      </w:r>
      <w:r>
        <w:rPr>
          <w:rFonts w:hint="eastAsia" w:ascii="仿宋_GB2312" w:hAnsi="仿宋_GB2312" w:eastAsia="仿宋_GB2312" w:cs="仿宋_GB2312"/>
          <w:sz w:val="32"/>
          <w:szCs w:val="32"/>
        </w:rPr>
        <w:t>部门应当会同</w:t>
      </w:r>
      <w:r>
        <w:rPr>
          <w:rFonts w:hint="eastAsia" w:ascii="仿宋_GB2312" w:hAnsi="仿宋_GB2312" w:eastAsia="仿宋_GB2312" w:cs="仿宋_GB2312"/>
          <w:sz w:val="32"/>
          <w:szCs w:val="32"/>
          <w:lang w:eastAsia="zh-CN"/>
        </w:rPr>
        <w:t>区财政部门</w:t>
      </w:r>
      <w:r>
        <w:rPr>
          <w:rFonts w:hint="eastAsia" w:ascii="仿宋_GB2312" w:hAnsi="仿宋_GB2312" w:eastAsia="仿宋_GB2312" w:cs="仿宋_GB2312"/>
          <w:sz w:val="32"/>
          <w:szCs w:val="32"/>
        </w:rPr>
        <w:t>、农业发展银行建立</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粮动用预警机制，加强对需要动用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粮情况的监测研判，适时提出动用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粮建议。</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 xml:space="preserve"> 出现下列情形之一的，可以动用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或者部分地区粮食明显供不应求或者市场价格异常波动;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(二)发生重大自然灾害、重大公共卫生事件或者其他突发事件;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人民政府认为需要动用的其他情形。</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 xml:space="preserve"> 需要动用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应当会同</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财政部门、农业发展银行提出动用方案，报</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人民政府批准。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动用方案应当包括动用的品种、数量、质量、价格、使用安排、运输保障、补库时间、价差处理和费用补贴等内容。</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人民政府批准的</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粮动用方案下达动用命令，由承储单位具体组织实施。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紧急情况下，</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人民政府可以直接决定动用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粮并下达动用命令。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任何单位和个人不得拒绝执行或者擅自改变</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粮动用命令。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承储单位应当按照</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的安排及时恢复动用的</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财政部门、农业发展银行协同开展相关工作。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资金管理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第二十一条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财政部门应当建立</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粮财政补贴标准动态调整机制，根据当地经济发展水平、保管成本变化、企业管理方式、企业改组改制等情况合理确定财政补贴标准。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第二十二条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粮管理费用补贴实行定额包干，其中，保管费用补贴由</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财政部门按季度拨付，轮换费用在轮换计划下达后，按轮换量先预拨70%,其余30%在轮换计划完成验收合格后再拨付.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粮贷款利息实行据实补贴，按季度拨付，由</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财政部门按照同期贷款利率，同农业发展银行清算。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次年一月份，</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财政部门对上一年度管理费用进行清算。任何单位和个人不得挤占、挪用、克扣</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粮贷款利息、管理费用等财政补贴和信贷资金。</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第二十三条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粮的入库成本和贷款规模由</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、农业发展银行负责核定，承储单位应当严格执行。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任何单位和个人不得擅自更改</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粮入库成本和贷款规模。</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第二十四条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财政部门应当会同</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、农业发展银行建立</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粮损失、损耗处理制度，按规定处理所发生的损失、损耗。在国家规定标准范围内的损耗由承储企业以拨补的轮换补贴自行弥补。超标准损耗由企业自行负担。</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第二十五条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承储单位在轮换时要通过规范的交易批发市场及相关交易平台公开竞价交易方式进行。轮换过程中产生的价差亏损在0.05元/斤以内(包括0.05元/斤)由</w:t>
      </w:r>
      <w:r>
        <w:rPr>
          <w:rFonts w:hint="eastAsia" w:ascii="仿宋_GB2312" w:hAnsi="仿宋_GB2312" w:eastAsia="仿宋_GB2312" w:cs="仿宋_GB2312"/>
          <w:sz w:val="32"/>
          <w:szCs w:val="32"/>
          <w:lang w:eastAsia="zh-CN"/>
        </w:rPr>
        <w:t>区财政</w:t>
      </w:r>
      <w:r>
        <w:rPr>
          <w:rFonts w:hint="eastAsia" w:ascii="仿宋_GB2312" w:hAnsi="仿宋_GB2312" w:eastAsia="仿宋_GB2312" w:cs="仿宋_GB2312"/>
          <w:sz w:val="32"/>
          <w:szCs w:val="32"/>
        </w:rPr>
        <w:t>全额承担;价差亏损在0.05-0.1元/斤以内(包括0.1元/斤)，</w:t>
      </w:r>
      <w:r>
        <w:rPr>
          <w:rFonts w:hint="eastAsia" w:ascii="仿宋_GB2312" w:hAnsi="仿宋_GB2312" w:eastAsia="仿宋_GB2312" w:cs="仿宋_GB2312"/>
          <w:sz w:val="32"/>
          <w:szCs w:val="32"/>
          <w:lang w:eastAsia="zh-CN"/>
        </w:rPr>
        <w:t>区财政</w:t>
      </w:r>
      <w:r>
        <w:rPr>
          <w:rFonts w:hint="eastAsia" w:ascii="仿宋_GB2312" w:hAnsi="仿宋_GB2312" w:eastAsia="仿宋_GB2312" w:cs="仿宋_GB2312"/>
          <w:sz w:val="32"/>
          <w:szCs w:val="32"/>
        </w:rPr>
        <w:t>承担80%,承储单位负担20%;价差亏损在0.1元/斤以上，</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财政负担70%，承储单位负担30%。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轮换产生的价差盈余存入农业发展银行开设的风险专户中，专项用于形成价差亏损时企业负担的部分.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由于价差亏损造成的轮换资金缺口部分，从农业发展银行先行贷款，产生的利息由财政承担，轮换任务结束后，</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财政部门会同</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、农业发展银行进行清算。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第六章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绩效评价与监督检查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第二十六条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承储单位对补贴资金开展绩效自评价工作，</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开展部门绩效评价工作，必要时</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财政部门对补贴资金使用情况进一步开展财政绩效评价，</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要按照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优化营商环境财政政策汇编之《预算绩效管理</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长治市屯留区财政局2023年10月编制）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相关政策文件</w:t>
      </w:r>
      <w:r>
        <w:rPr>
          <w:rFonts w:hint="eastAsia" w:ascii="仿宋_GB2312" w:hAnsi="仿宋_GB2312" w:eastAsia="仿宋_GB2312" w:cs="仿宋_GB2312"/>
          <w:sz w:val="32"/>
          <w:szCs w:val="32"/>
        </w:rPr>
        <w:t>的要求，在每年8月底前，将本部门组织实施的重点绩效评价和</w:t>
      </w:r>
      <w:r>
        <w:rPr>
          <w:rFonts w:hint="eastAsia" w:ascii="仿宋_GB2312" w:hAnsi="仿宋_GB2312" w:eastAsia="仿宋_GB2312" w:cs="仿宋_GB2312"/>
          <w:sz w:val="32"/>
          <w:szCs w:val="32"/>
          <w:lang w:eastAsia="zh-CN"/>
        </w:rPr>
        <w:t>区财政部门</w:t>
      </w:r>
      <w:r>
        <w:rPr>
          <w:rFonts w:hint="eastAsia" w:ascii="仿宋_GB2312" w:hAnsi="仿宋_GB2312" w:eastAsia="仿宋_GB2312" w:cs="仿宋_GB2312"/>
          <w:sz w:val="32"/>
          <w:szCs w:val="32"/>
        </w:rPr>
        <w:t>组织的绩效自评工作开展情况、绩效评价结果和存在问题、改进措施等向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财政部门和</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将绩效评价结果作为预算安排和政策调整的重要依据。</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第二十七条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财政部门、农业发展银行按照各自职责，依法对承储单位的下列事项进行监督检查: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粮数量、质量、储存安全和管理状况;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粮收购、销售、轮换计划及动用命令的执行情况;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粮费用补贴使用情况;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粮仓储设施、设备;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粮的有关资料、凭证;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(六)法律、法规、规章规定的其他事项。</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第二十八条</w:t>
      </w:r>
      <w:r>
        <w:rPr>
          <w:rFonts w:hint="eastAsia" w:ascii="仿宋_GB2312" w:hAnsi="仿宋_GB2312" w:eastAsia="仿宋_GB2312" w:cs="仿宋_GB2312"/>
          <w:sz w:val="32"/>
          <w:szCs w:val="32"/>
        </w:rPr>
        <w:t xml:space="preserve"> 审计机关依法对</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粮的财务收支情况实施审计监督。</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第二十九条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区发改、粮食部门</w:t>
      </w:r>
      <w:r>
        <w:rPr>
          <w:rFonts w:hint="eastAsia" w:ascii="仿宋_GB2312" w:hAnsi="仿宋_GB2312" w:eastAsia="仿宋_GB2312" w:cs="仿宋_GB2312"/>
          <w:sz w:val="32"/>
          <w:szCs w:val="32"/>
        </w:rPr>
        <w:t>应当建立定期普查和年度考核制度，对承储单位进行综合评价，并根据综合评价结果，动态调整承储任务，相关情况及时告知</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财政部门、农业发展银行。</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承储单位对有关部门依法实施的监督检查应当予以配合。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任何单位和个人不得拒绝、阻挠、干涉监督检查活动。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第七章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第三十一条</w:t>
      </w:r>
      <w:r>
        <w:rPr>
          <w:rFonts w:hint="eastAsia" w:ascii="仿宋_GB2312" w:hAnsi="仿宋_GB2312" w:eastAsia="仿宋_GB2312" w:cs="仿宋_GB2312"/>
          <w:sz w:val="32"/>
          <w:szCs w:val="32"/>
        </w:rPr>
        <w:t xml:space="preserve"> 违反本办法规定，有关法律、法规、规章另有法律责任规定的，从其规定。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第三十二条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行政机关及其工作人员有下列情形之一的，由有权机关对直接负责的主管人员和其他直接责任人员依法给予处分;构成犯罪的，依法追究刑事责任: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(一)不按规定要求下达收购、销售、轮换计划和拨付费用补贴的;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(二)不组织实施或者擅自改变</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粮收购、销售、轮换计划及动用命令的;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(三)干预承储单位正常运营的;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(四)发现</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粮的数量、质量存在问题不予纠正的;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(五)发现危及</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粮储存安全不立即采取措施的;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(六)法律、法规、规章规定的其他情形。</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第三十三条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承储单位有下列行为之一的，由有权机关责令改正,对直接负责的主管人员和其他直接责任人员依法给予处分;情节严重的，取消其承储任务;构成犯罪的，依法追究刑事责任: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(一)以</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粮进行期货实物交割;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(二)以储备设施、设备为债务作担保或者清偿债务;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(三)租仓储存，委托代储;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(四)擅自串换品种、变更储存库点和仓号;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(五)因延误轮换或者管理不善造成轻度不宜存、食品安全指标超标;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(六)入库的</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粮未达到收购、轮换计划规定的质量等级和国家规定的常规质量、储存品质和食品安全指标;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(七)未实行专仓储存、专人保管、专账记载，</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粮账实不符、账账不符;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(八)拒不执行或者擅自改变收购、销售、轮换计划和动用命令;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(九)拒绝、阻挠、干涉监督检查;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(十)法律、法规、规章规定的其他行为。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违反本办法规定,擅自更改</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粮入库成本、贷款规模和</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粮基金，或者挤占、挪用、克扣、骗取</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粮基金的，由有权机关责令改正，对直接负责的主管人员和其他直接责任人员依法给予处分;构成犯罪的，依法追究刑事责任。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第三十五条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公职人员在</w:t>
      </w:r>
      <w:r>
        <w:rPr>
          <w:rFonts w:hint="eastAsia" w:ascii="仿宋_GB2312" w:hAnsi="仿宋_GB2312" w:eastAsia="仿宋_GB2312" w:cs="仿宋_GB2312"/>
          <w:sz w:val="32"/>
          <w:szCs w:val="32"/>
          <w:lang w:eastAsia="zh-CN"/>
        </w:rPr>
        <w:t>区级储备</w:t>
      </w:r>
      <w:r>
        <w:rPr>
          <w:rFonts w:hint="eastAsia" w:ascii="仿宋_GB2312" w:hAnsi="仿宋_GB2312" w:eastAsia="仿宋_GB2312" w:cs="仿宋_GB2312"/>
          <w:sz w:val="32"/>
          <w:szCs w:val="32"/>
        </w:rPr>
        <w:t>粮管理中滥用职权、徇私舞弊或者玩忽职守的，由有权机关依法给予处分;构成犯罪的，依法追究刑事责任。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第八章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第三十六条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本办法自</w:t>
      </w:r>
      <w:r>
        <w:rPr>
          <w:rFonts w:hint="eastAsia" w:ascii="仿宋_GB2312" w:hAnsi="仿宋_GB2312" w:eastAsia="仿宋_GB2312" w:cs="仿宋_GB2312"/>
          <w:sz w:val="32"/>
          <w:szCs w:val="32"/>
          <w:lang w:val="en-US" w:eastAsia="zh-CN"/>
        </w:rPr>
        <w:t>印发之</w:t>
      </w:r>
      <w:r>
        <w:rPr>
          <w:rFonts w:hint="eastAsia" w:ascii="仿宋_GB2312" w:hAnsi="仿宋_GB2312" w:eastAsia="仿宋_GB2312" w:cs="仿宋_GB2312"/>
          <w:sz w:val="32"/>
          <w:szCs w:val="32"/>
        </w:rPr>
        <w:t>日起执行，有效期5年。《长治市</w:t>
      </w:r>
      <w:r>
        <w:rPr>
          <w:rFonts w:hint="eastAsia" w:ascii="仿宋_GB2312" w:hAnsi="仿宋_GB2312" w:eastAsia="仿宋_GB2312" w:cs="仿宋_GB2312"/>
          <w:sz w:val="32"/>
          <w:szCs w:val="32"/>
          <w:lang w:val="en-US" w:eastAsia="zh-CN"/>
        </w:rPr>
        <w:t>屯留区</w:t>
      </w:r>
      <w:r>
        <w:rPr>
          <w:rFonts w:hint="eastAsia" w:ascii="仿宋_GB2312" w:hAnsi="仿宋_GB2312" w:eastAsia="仿宋_GB2312" w:cs="仿宋_GB2312"/>
          <w:sz w:val="32"/>
          <w:szCs w:val="32"/>
        </w:rPr>
        <w:t>人民政府</w:t>
      </w:r>
      <w:r>
        <w:rPr>
          <w:rFonts w:hint="eastAsia" w:ascii="仿宋_GB2312" w:hAnsi="仿宋_GB2312" w:eastAsia="仿宋_GB2312" w:cs="仿宋_GB2312"/>
          <w:sz w:val="32"/>
          <w:szCs w:val="32"/>
          <w:lang w:val="en-US" w:eastAsia="zh-CN"/>
        </w:rPr>
        <w:t>办公室</w:t>
      </w:r>
      <w:r>
        <w:rPr>
          <w:rFonts w:hint="eastAsia" w:ascii="仿宋_GB2312" w:hAnsi="仿宋_GB2312" w:eastAsia="仿宋_GB2312" w:cs="仿宋_GB2312"/>
          <w:sz w:val="32"/>
          <w:szCs w:val="32"/>
        </w:rPr>
        <w:t>关于印发长治市</w:t>
      </w:r>
      <w:r>
        <w:rPr>
          <w:rFonts w:hint="eastAsia" w:ascii="仿宋_GB2312" w:hAnsi="仿宋_GB2312" w:eastAsia="仿宋_GB2312" w:cs="仿宋_GB2312"/>
          <w:sz w:val="32"/>
          <w:szCs w:val="32"/>
          <w:lang w:val="en-US" w:eastAsia="zh-CN"/>
        </w:rPr>
        <w:t>屯留区</w:t>
      </w:r>
      <w:r>
        <w:rPr>
          <w:rFonts w:hint="eastAsia" w:ascii="仿宋_GB2312" w:hAnsi="仿宋_GB2312" w:eastAsia="仿宋_GB2312" w:cs="仿宋_GB2312"/>
          <w:sz w:val="32"/>
          <w:szCs w:val="32"/>
        </w:rPr>
        <w:t>储备粮管理办法</w:t>
      </w:r>
      <w:r>
        <w:rPr>
          <w:rFonts w:hint="eastAsia" w:ascii="仿宋_GB2312" w:hAnsi="仿宋_GB2312" w:eastAsia="仿宋_GB2312" w:cs="仿宋_GB2312"/>
          <w:sz w:val="32"/>
          <w:szCs w:val="32"/>
          <w:lang w:val="en-US" w:eastAsia="zh-CN"/>
        </w:rPr>
        <w:t>和长治市屯留区储备粮轮换管理办法的</w:t>
      </w:r>
      <w:r>
        <w:rPr>
          <w:rFonts w:hint="eastAsia" w:ascii="仿宋_GB2312" w:hAnsi="仿宋_GB2312" w:eastAsia="仿宋_GB2312" w:cs="仿宋_GB2312"/>
          <w:sz w:val="32"/>
          <w:szCs w:val="32"/>
        </w:rPr>
        <w:t>通知》(</w:t>
      </w:r>
      <w:r>
        <w:rPr>
          <w:rFonts w:hint="eastAsia" w:ascii="仿宋_GB2312" w:hAnsi="仿宋_GB2312" w:eastAsia="仿宋_GB2312" w:cs="仿宋_GB2312"/>
          <w:sz w:val="32"/>
          <w:szCs w:val="32"/>
          <w:lang w:val="en-US" w:eastAsia="zh-CN"/>
        </w:rPr>
        <w:t>屯</w:t>
      </w:r>
      <w:r>
        <w:rPr>
          <w:rFonts w:hint="eastAsia" w:ascii="仿宋_GB2312" w:hAnsi="仿宋_GB2312" w:eastAsia="仿宋_GB2312" w:cs="仿宋_GB2312"/>
          <w:sz w:val="32"/>
          <w:szCs w:val="32"/>
        </w:rPr>
        <w:t>政</w:t>
      </w:r>
      <w:r>
        <w:rPr>
          <w:rFonts w:hint="eastAsia" w:ascii="仿宋_GB2312" w:hAnsi="仿宋_GB2312" w:eastAsia="仿宋_GB2312" w:cs="仿宋_GB2312"/>
          <w:sz w:val="32"/>
          <w:szCs w:val="32"/>
          <w:lang w:val="en-US" w:eastAsia="zh-CN"/>
        </w:rPr>
        <w:t>办</w:t>
      </w:r>
      <w:r>
        <w:rPr>
          <w:rFonts w:hint="eastAsia" w:ascii="仿宋_GB2312" w:hAnsi="仿宋_GB2312" w:eastAsia="仿宋_GB2312" w:cs="仿宋_GB2312"/>
          <w:sz w:val="32"/>
          <w:szCs w:val="32"/>
        </w:rPr>
        <w:t>发</w:t>
      </w:r>
      <w:r>
        <w:rPr>
          <w:rFonts w:hint="eastAsia" w:ascii="黑体" w:hAnsi="黑体" w:eastAsia="黑体" w:cs="黑体"/>
          <w:sz w:val="32"/>
          <w:szCs w:val="32"/>
        </w:rPr>
        <w:t>〔</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黑体" w:hAnsi="黑体" w:eastAsia="黑体" w:cs="黑体"/>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号)同时废止。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553" w:right="1746" w:bottom="1553"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xOGQ3MzQ1NGM3MGZlOTI4NTllOGJmMmUxMzY1MjYifQ=="/>
  </w:docVars>
  <w:rsids>
    <w:rsidRoot w:val="578E7D1C"/>
    <w:rsid w:val="00120432"/>
    <w:rsid w:val="00335D51"/>
    <w:rsid w:val="031569E6"/>
    <w:rsid w:val="03826891"/>
    <w:rsid w:val="054F5218"/>
    <w:rsid w:val="07B37081"/>
    <w:rsid w:val="0934265E"/>
    <w:rsid w:val="098B459B"/>
    <w:rsid w:val="0D3E3C8A"/>
    <w:rsid w:val="0D4558B2"/>
    <w:rsid w:val="0E81187A"/>
    <w:rsid w:val="0EA53D44"/>
    <w:rsid w:val="12F26E2C"/>
    <w:rsid w:val="140F3276"/>
    <w:rsid w:val="164F73EC"/>
    <w:rsid w:val="16A00C83"/>
    <w:rsid w:val="16BC766A"/>
    <w:rsid w:val="1A750A6F"/>
    <w:rsid w:val="1B23671D"/>
    <w:rsid w:val="1B6146D1"/>
    <w:rsid w:val="1DEE45E2"/>
    <w:rsid w:val="1DEF0B38"/>
    <w:rsid w:val="1E22648E"/>
    <w:rsid w:val="202D3B58"/>
    <w:rsid w:val="204607B7"/>
    <w:rsid w:val="20AD3620"/>
    <w:rsid w:val="27343A60"/>
    <w:rsid w:val="2A1A518F"/>
    <w:rsid w:val="2B990335"/>
    <w:rsid w:val="2C472C8F"/>
    <w:rsid w:val="2DB42455"/>
    <w:rsid w:val="2F921130"/>
    <w:rsid w:val="2FCF34F1"/>
    <w:rsid w:val="31A83080"/>
    <w:rsid w:val="349911CD"/>
    <w:rsid w:val="34B54432"/>
    <w:rsid w:val="35D568E8"/>
    <w:rsid w:val="371B578F"/>
    <w:rsid w:val="375E2A17"/>
    <w:rsid w:val="37701D0D"/>
    <w:rsid w:val="38E4204C"/>
    <w:rsid w:val="39B27192"/>
    <w:rsid w:val="413C6EA3"/>
    <w:rsid w:val="41665E32"/>
    <w:rsid w:val="41D41C6F"/>
    <w:rsid w:val="42C43687"/>
    <w:rsid w:val="453B5E84"/>
    <w:rsid w:val="470F1766"/>
    <w:rsid w:val="4DFC67D6"/>
    <w:rsid w:val="550759F4"/>
    <w:rsid w:val="56B0015D"/>
    <w:rsid w:val="578E7D1C"/>
    <w:rsid w:val="57A51C8C"/>
    <w:rsid w:val="57CC546B"/>
    <w:rsid w:val="5BF13DD7"/>
    <w:rsid w:val="5DFB0858"/>
    <w:rsid w:val="5E157DFA"/>
    <w:rsid w:val="5E345C25"/>
    <w:rsid w:val="611973F5"/>
    <w:rsid w:val="61DB6D9C"/>
    <w:rsid w:val="67861828"/>
    <w:rsid w:val="69943AEF"/>
    <w:rsid w:val="6DAE7C85"/>
    <w:rsid w:val="6EC10D02"/>
    <w:rsid w:val="723839D1"/>
    <w:rsid w:val="7B8C08E9"/>
    <w:rsid w:val="BAEAE129"/>
    <w:rsid w:val="F1BF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4917</Words>
  <Characters>4972</Characters>
  <Lines>0</Lines>
  <Paragraphs>0</Paragraphs>
  <TotalTime>1211</TotalTime>
  <ScaleCrop>false</ScaleCrop>
  <LinksUpToDate>false</LinksUpToDate>
  <CharactersWithSpaces>5056</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2024-08-23T17:59:00Z</dcterms:created>
  <dc:creator>cloud</dc:creator>
  <cp:lastModifiedBy>user</cp:lastModifiedBy>
  <cp:lastPrinted>2024-10-08T17:33:00Z</cp:lastPrinted>
  <dcterms:modified xsi:type="dcterms:W3CDTF">2024-10-28T16:31:23Z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4036AEF6F7744EF4AB7AB144B91F9D46_11</vt:lpwstr>
  </property>
</Properties>
</file>